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823" w:rsidRDefault="00464823">
      <w:pPr>
        <w:widowControl w:val="0"/>
        <w:autoSpaceDE w:val="0"/>
        <w:autoSpaceDN w:val="0"/>
        <w:adjustRightInd w:val="0"/>
        <w:spacing w:after="0" w:line="240" w:lineRule="auto"/>
        <w:ind w:right="180"/>
        <w:rPr>
          <w:rFonts w:ascii="Arial" w:hAnsi="Arial" w:cs="Arial"/>
          <w:sz w:val="20"/>
          <w:szCs w:val="20"/>
        </w:rPr>
      </w:pPr>
    </w:p>
    <w:p w:rsidR="00464823" w:rsidRDefault="00464823">
      <w:pPr>
        <w:widowControl w:val="0"/>
        <w:autoSpaceDE w:val="0"/>
        <w:autoSpaceDN w:val="0"/>
        <w:adjustRightInd w:val="0"/>
        <w:spacing w:after="0" w:line="240" w:lineRule="auto"/>
        <w:ind w:right="180"/>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Vitalism,</w:t>
      </w:r>
      <w:r>
        <w:rPr>
          <w:rFonts w:ascii="Arial" w:hAnsi="Arial" w:cs="Arial"/>
          <w:sz w:val="26"/>
          <w:szCs w:val="26"/>
        </w:rPr>
        <w:t xml:space="preserve"> </w:t>
      </w:r>
      <w:r>
        <w:rPr>
          <w:rFonts w:ascii="Arial" w:hAnsi="Arial" w:cs="Arial"/>
          <w:sz w:val="20"/>
          <w:szCs w:val="20"/>
        </w:rPr>
        <w:t xml:space="preserve">philosophy that living organisms are distinct from nonliving entities by possessing a "vital force." This vital force energizes living organisms in a nonphysical, nonchemical manner. Vitalism is an </w:t>
      </w:r>
      <w:r>
        <w:rPr>
          <w:rFonts w:ascii="Arial" w:hAnsi="Arial" w:cs="Arial"/>
          <w:color w:val="FF0000"/>
          <w:sz w:val="20"/>
          <w:szCs w:val="20"/>
          <w:u w:val="single"/>
        </w:rPr>
        <w:t>aspect</w:t>
      </w:r>
      <w:r>
        <w:rPr>
          <w:rFonts w:ascii="Arial" w:hAnsi="Arial" w:cs="Arial"/>
          <w:sz w:val="20"/>
          <w:szCs w:val="20"/>
        </w:rPr>
        <w:t xml:space="preserve"> of the philosophy of idealism, which claims that abstract, non-material forms or processes (ideas) precede and give rise to the material. Although vitalists do not deny the value of biochemical investigations of cells or organisms, they believe that such work can never lead to an understanding of the ultimate nature of life because, by definition, the vital force cannot be comprehended by studying chemical and physical phenomena.</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After returning to France in 1832, Tocqueville wrote his most famous work, </w:t>
      </w:r>
      <w:r>
        <w:rPr>
          <w:rFonts w:ascii="Arial" w:hAnsi="Arial" w:cs="Arial"/>
          <w:i/>
          <w:iCs/>
          <w:sz w:val="20"/>
          <w:szCs w:val="20"/>
        </w:rPr>
        <w:t>Democracy in America</w:t>
      </w:r>
      <w:r>
        <w:rPr>
          <w:rFonts w:ascii="Arial" w:hAnsi="Arial" w:cs="Arial"/>
          <w:sz w:val="20"/>
          <w:szCs w:val="20"/>
        </w:rPr>
        <w:t xml:space="preserve">. One of the earliest and most profound studies of American life, it concerns the legislative and administrative systems in the U.S. and the influence of social and political institutions on the habits and manners of the people. Tocqueville maintains in this work that the full development of democracy occurred in the U.S. because conditions there best permitted the diffusion of European social ideas. He was highly critical of certain </w:t>
      </w:r>
      <w:r>
        <w:rPr>
          <w:rFonts w:ascii="Arial" w:hAnsi="Arial" w:cs="Arial"/>
          <w:color w:val="0000FF"/>
          <w:sz w:val="20"/>
          <w:szCs w:val="20"/>
          <w:u w:val="single"/>
        </w:rPr>
        <w:t>aspects</w:t>
      </w:r>
      <w:r>
        <w:rPr>
          <w:rFonts w:ascii="Arial" w:hAnsi="Arial" w:cs="Arial"/>
          <w:sz w:val="20"/>
          <w:szCs w:val="20"/>
        </w:rPr>
        <w:t xml:space="preserve"> of American democracy. For example, he believed that public opinion tended toward tyranny and that majority rule could be as oppressive as the rule of a despot.</w:t>
      </w:r>
    </w:p>
    <w:p w:rsidR="00464823" w:rsidRDefault="00464823">
      <w:pPr>
        <w:widowControl w:val="0"/>
        <w:autoSpaceDE w:val="0"/>
        <w:autoSpaceDN w:val="0"/>
        <w:adjustRightInd w:val="0"/>
        <w:spacing w:after="0" w:line="240" w:lineRule="auto"/>
        <w:rPr>
          <w:rFonts w:ascii="Arial" w:hAnsi="Arial" w:cs="Arial"/>
          <w:sz w:val="8"/>
          <w:szCs w:val="8"/>
        </w:rPr>
      </w:pPr>
    </w:p>
    <w:p w:rsidR="00464823" w:rsidRDefault="00464823">
      <w:pPr>
        <w:widowControl w:val="0"/>
        <w:autoSpaceDE w:val="0"/>
        <w:autoSpaceDN w:val="0"/>
        <w:adjustRightInd w:val="0"/>
        <w:spacing w:after="0" w:line="240" w:lineRule="auto"/>
        <w:rPr>
          <w:rFonts w:ascii="Arial" w:hAnsi="Arial" w:cs="Arial"/>
          <w:sz w:val="8"/>
          <w:szCs w:val="8"/>
        </w:rPr>
      </w:pPr>
    </w:p>
    <w:p w:rsidR="00464823" w:rsidRDefault="00464823">
      <w:pPr>
        <w:widowControl w:val="0"/>
        <w:autoSpaceDE w:val="0"/>
        <w:autoSpaceDN w:val="0"/>
        <w:adjustRightInd w:val="0"/>
        <w:spacing w:after="0" w:line="240" w:lineRule="auto"/>
        <w:rPr>
          <w:rFonts w:ascii="Arial" w:hAnsi="Arial" w:cs="Arial"/>
          <w:sz w:val="8"/>
          <w:szCs w:val="8"/>
        </w:rPr>
      </w:pPr>
    </w:p>
    <w:p w:rsidR="00464823" w:rsidRDefault="00464823">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464823" w:rsidRDefault="00464823">
      <w:pPr>
        <w:widowControl w:val="0"/>
        <w:autoSpaceDE w:val="0"/>
        <w:autoSpaceDN w:val="0"/>
        <w:adjustRightInd w:val="0"/>
        <w:spacing w:after="0" w:line="240" w:lineRule="auto"/>
        <w:ind w:right="180"/>
        <w:rPr>
          <w:rFonts w:ascii="Arial" w:hAnsi="Arial" w:cs="Arial"/>
          <w:sz w:val="20"/>
          <w:szCs w:val="20"/>
        </w:rPr>
      </w:pPr>
    </w:p>
    <w:p w:rsidR="00464823" w:rsidRDefault="00464823">
      <w:pPr>
        <w:widowControl w:val="0"/>
        <w:autoSpaceDE w:val="0"/>
        <w:autoSpaceDN w:val="0"/>
        <w:adjustRightInd w:val="0"/>
        <w:spacing w:after="0" w:line="240" w:lineRule="auto"/>
        <w:ind w:right="180"/>
        <w:rPr>
          <w:rFonts w:ascii="Arial" w:hAnsi="Arial" w:cs="Arial"/>
          <w:b/>
          <w:bCs/>
          <w:sz w:val="20"/>
          <w:szCs w:val="20"/>
        </w:rPr>
      </w:pPr>
    </w:p>
    <w:p w:rsidR="00464823" w:rsidRDefault="00464823">
      <w:pPr>
        <w:widowControl w:val="0"/>
        <w:autoSpaceDE w:val="0"/>
        <w:autoSpaceDN w:val="0"/>
        <w:adjustRightInd w:val="0"/>
        <w:spacing w:after="0" w:line="240" w:lineRule="auto"/>
        <w:ind w:right="180"/>
        <w:rPr>
          <w:rFonts w:ascii="Arial" w:hAnsi="Arial" w:cs="Arial"/>
          <w:b/>
          <w:bCs/>
          <w:sz w:val="20"/>
          <w:szCs w:val="20"/>
        </w:rPr>
      </w:pPr>
    </w:p>
    <w:p w:rsidR="00464823" w:rsidRDefault="00464823">
      <w:pPr>
        <w:widowControl w:val="0"/>
        <w:autoSpaceDE w:val="0"/>
        <w:autoSpaceDN w:val="0"/>
        <w:adjustRightInd w:val="0"/>
        <w:spacing w:after="0" w:line="240" w:lineRule="auto"/>
        <w:ind w:right="180"/>
        <w:rPr>
          <w:rFonts w:ascii="Arial" w:hAnsi="Arial" w:cs="Arial"/>
          <w:b/>
          <w:bCs/>
          <w:sz w:val="20"/>
          <w:szCs w:val="20"/>
        </w:rPr>
      </w:pPr>
    </w:p>
    <w:p w:rsidR="00464823" w:rsidRDefault="00464823">
      <w:pPr>
        <w:widowControl w:val="0"/>
        <w:autoSpaceDE w:val="0"/>
        <w:autoSpaceDN w:val="0"/>
        <w:adjustRightInd w:val="0"/>
        <w:spacing w:after="0" w:line="240" w:lineRule="auto"/>
        <w:ind w:right="180"/>
        <w:rPr>
          <w:rFonts w:ascii="Arial" w:hAnsi="Arial" w:cs="Arial"/>
          <w:b/>
          <w:bCs/>
          <w:sz w:val="20"/>
          <w:szCs w:val="20"/>
        </w:rPr>
      </w:pPr>
    </w:p>
    <w:p w:rsidR="00464823" w:rsidRDefault="00464823">
      <w:pPr>
        <w:widowControl w:val="0"/>
        <w:autoSpaceDE w:val="0"/>
        <w:autoSpaceDN w:val="0"/>
        <w:adjustRightInd w:val="0"/>
        <w:spacing w:after="0" w:line="240" w:lineRule="auto"/>
        <w:ind w:right="180"/>
        <w:rPr>
          <w:rFonts w:ascii="Arial" w:hAnsi="Arial" w:cs="Arial"/>
          <w:b/>
          <w:bCs/>
          <w:sz w:val="20"/>
          <w:szCs w:val="20"/>
        </w:rPr>
      </w:pPr>
    </w:p>
    <w:p w:rsidR="00464823" w:rsidRDefault="00464823">
      <w:pPr>
        <w:widowControl w:val="0"/>
        <w:autoSpaceDE w:val="0"/>
        <w:autoSpaceDN w:val="0"/>
        <w:adjustRightInd w:val="0"/>
        <w:spacing w:after="0" w:line="240" w:lineRule="auto"/>
        <w:ind w:right="180"/>
        <w:rPr>
          <w:rFonts w:ascii="Arial" w:hAnsi="Arial" w:cs="Arial"/>
          <w:b/>
          <w:bCs/>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All Quiet in the Ranks</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 exploration of dissent in Australia’s security agencies</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Andrew Wilkie  -  The Australia Institute</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Discussion Paper Number 92, Nov/ 2006    -  ISSN 1322-5421</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Government has shaped the agencies by appointing trusted members of its inner circle to head the most important organisations. The Prime Minister’s former staffer, Peter Varghese, is the Director-General of ONA, the nation’s senior intelligence appointment. Similarly, another former staffer of the Prime Minister, Paul O’Sullivan, heads the Australian Security Intelligence Organisation (ASIO), the lead counterterrorism intelligence agency.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politicisation of the agencies is self-perpetuating as senior officials recruit staff</w:t>
      </w: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with similar loyalties and biases   . . .   Loyalty now rules over meritocracy in the Australian Public Service (APS).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Neither the public nor the media can reverse the politicisation of the security agencies, in part because the public can only agitate about what it knows   . . .  the media has proven to be lazy, incompetent and compliant when it comes to security issues.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There was also a growing realisation in the agencies of the inherent value, and industrial relations inevitability, of better reflecting Australian society and drawing on the rich diversity of views to be found there. In the intelligence agencies, taps on shoulders became less common as human resource managers increasingly brought their efforts into the open and aligned their recruitment practices with the broader APS.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The security clearance process, and in particular the top-level ‘positive vet’ – or ‘PV’ as it’s more commonly known – which not unreasonably is required for access to the most sensitive information, is normally an extraordinarily intrusive process undertaken by specially trained officials over lengthy periods and at considerable cost.</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Sometimes the process can take months and cost tens of thousands of dollars. Everything is examined – for example places of residence and travel, schooling, membership of associations of any kind, friends and acquaintances, sexual preferences, financial arrangements and psychological status – to ensure that clearance holders are stable, trustworthy and who they claim to be. The trustworthy aspect in particular is highly subjective and these days includes political trustworthiness.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Ministerial involvement is now more of a problem than a solution because of the way it protects failing security agencies and fuels politicisation.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2006 two ALP members disputed the Committee’s recommendation to list the Kurdistan Workers’ Party as a terrorist organisation.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ind w:right="180"/>
        <w:rPr>
          <w:rFonts w:ascii="Arial" w:hAnsi="Arial" w:cs="Arial"/>
          <w:b/>
          <w:bCs/>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https://www.tai.org.au/file.php?file=discussion_papers/DP92.pdf</w:t>
      </w:r>
    </w:p>
    <w:p w:rsidR="00464823" w:rsidRDefault="00464823">
      <w:pPr>
        <w:widowControl w:val="0"/>
        <w:autoSpaceDE w:val="0"/>
        <w:autoSpaceDN w:val="0"/>
        <w:adjustRightInd w:val="0"/>
        <w:spacing w:after="0" w:line="240" w:lineRule="auto"/>
        <w:ind w:right="180"/>
        <w:rPr>
          <w:rFonts w:ascii="Arial" w:hAnsi="Arial" w:cs="Arial"/>
          <w:b/>
          <w:bCs/>
          <w:sz w:val="20"/>
          <w:szCs w:val="20"/>
        </w:rPr>
      </w:pPr>
    </w:p>
    <w:p w:rsidR="00464823" w:rsidRDefault="00464823">
      <w:pPr>
        <w:widowControl w:val="0"/>
        <w:autoSpaceDE w:val="0"/>
        <w:autoSpaceDN w:val="0"/>
        <w:adjustRightInd w:val="0"/>
        <w:spacing w:after="0" w:line="240" w:lineRule="auto"/>
        <w:ind w:right="180"/>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7"/>
          <w:szCs w:val="27"/>
        </w:rPr>
        <w:t>Putting Liberalism in Its Place</w:t>
      </w:r>
      <w:r>
        <w:rPr>
          <w:rFonts w:ascii="Times New Roman" w:hAnsi="Times New Roman" w:cs="Times New Roman"/>
          <w:sz w:val="27"/>
          <w:szCs w:val="27"/>
        </w:rPr>
        <w:br/>
      </w:r>
      <w:r>
        <w:rPr>
          <w:rFonts w:ascii="Arial" w:hAnsi="Arial" w:cs="Arial"/>
          <w:sz w:val="20"/>
          <w:szCs w:val="20"/>
        </w:rPr>
        <w:t>Paul W. Kahn   -    Princeton University Press</w:t>
      </w:r>
    </w:p>
    <w:p w:rsidR="00464823" w:rsidRDefault="00464823">
      <w:pPr>
        <w:widowControl w:val="0"/>
        <w:autoSpaceDE w:val="0"/>
        <w:autoSpaceDN w:val="0"/>
        <w:adjustRightInd w:val="0"/>
        <w:spacing w:before="100" w:after="100" w:line="240" w:lineRule="auto"/>
        <w:rPr>
          <w:rFonts w:ascii="Arial" w:hAnsi="Arial" w:cs="Arial"/>
          <w:sz w:val="20"/>
          <w:szCs w:val="20"/>
        </w:rPr>
      </w:pPr>
    </w:p>
    <w:p w:rsidR="00464823" w:rsidRDefault="00464823">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Every age has its own point of access to ethical and political deliberation. For us, that point is the problem of cultural pluralism.    . . .   Liberalism fails to see the way in which citizens committed to American political culture occupy a meaningful world. It fails to see what I will describe as the erotic foundations of modern political life. We cannot understand the character of the relationship between self and polity without first understanding love. To understand love, however, we need to explore the character of the will in dimensions that are beyond the imagination of liberal thought. This linking of will to love, and both to meaning, expresses the Christian inheritance of our political tradition.    . . .</w:t>
      </w:r>
    </w:p>
    <w:p w:rsidR="00464823" w:rsidRDefault="00464823">
      <w:pPr>
        <w:widowControl w:val="0"/>
        <w:autoSpaceDE w:val="0"/>
        <w:autoSpaceDN w:val="0"/>
        <w:adjustRightInd w:val="0"/>
        <w:spacing w:before="100" w:after="100" w:line="240" w:lineRule="auto"/>
        <w:rPr>
          <w:rFonts w:ascii="Arial" w:hAnsi="Arial" w:cs="Arial"/>
          <w:sz w:val="16"/>
          <w:szCs w:val="16"/>
        </w:rPr>
      </w:pPr>
    </w:p>
    <w:p w:rsidR="00464823" w:rsidRDefault="00464823">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 .  I hope to plot the shape of the world of meaning that I find all around me.</w:t>
      </w:r>
      <w:r>
        <w:rPr>
          <w:rFonts w:ascii="Arial" w:hAnsi="Arial" w:cs="Arial"/>
          <w:position w:val="6"/>
          <w:sz w:val="20"/>
          <w:szCs w:val="20"/>
          <w:vertAlign w:val="superscript"/>
        </w:rPr>
        <w:t xml:space="preserve"> </w:t>
      </w:r>
      <w:r>
        <w:rPr>
          <w:rFonts w:ascii="Arial" w:hAnsi="Arial" w:cs="Arial"/>
          <w:sz w:val="20"/>
          <w:szCs w:val="20"/>
        </w:rPr>
        <w:t>To do so, I draw on a wide variety of sources -- myth, literature, history, law, and political theory. Some may object that those sources include the thought of that most illiberal of political philosophers, Carl Schmitt. Schmitt's categories of friend and enemy, as well as his insistence on the autonomy of the political, are useful tools in exploring those aspects of political experience that are beyond the reach of liberalism. Liberal theorists have been so concerned with the problem of internal coercion -- that is, the government's exercise of force against citizens -- that they have failed to focus on the ways in which our politics remains deeply enmeshed in war and the threat of war.</w:t>
      </w:r>
      <w:r>
        <w:rPr>
          <w:rFonts w:ascii="Arial" w:hAnsi="Arial" w:cs="Arial"/>
          <w:position w:val="6"/>
          <w:sz w:val="20"/>
          <w:szCs w:val="20"/>
          <w:vertAlign w:val="superscript"/>
        </w:rPr>
        <w:t xml:space="preserve"> </w:t>
      </w:r>
      <w:r>
        <w:rPr>
          <w:rFonts w:ascii="Arial" w:hAnsi="Arial" w:cs="Arial"/>
          <w:sz w:val="20"/>
          <w:szCs w:val="20"/>
        </w:rPr>
        <w:t>Citizens understand themselves not just in terms of a legal order of rights, but also as potential instruments of state violence against others--or targets of that violence from others. This is all the more evident today when many believe that it is our liberalism that has made us the political enemy of various terrorist groups around the world.</w:t>
      </w:r>
    </w:p>
    <w:p w:rsidR="00464823" w:rsidRDefault="00464823">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By bringing liberalism into contact with Schmitt, I mean not to undermine liberal practices, but rather to expand our horizon of understanding.</w:t>
      </w:r>
    </w:p>
    <w:p w:rsidR="00464823" w:rsidRDefault="00464823">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lastRenderedPageBreak/>
        <w:tab/>
        <w:t>Schmitt can be read as celebrating a violent politics, which he took to be a more authentic experience than ordinary political practices. I think our politics continues to demand sacrifice, and it is all too often violent. I don't, however, celebrate these aspects of our experience. Nevertheless, I do insist that we confront the character of our political faith. Our faith in popular sovereignty does not make us indifferent to the liberal content of the rule of law.</w:t>
      </w:r>
    </w:p>
    <w:p w:rsidR="00464823" w:rsidRDefault="00464823">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Law and popular sovereignty exist in a reciprocal relationship. Our faith in the popular sovereign is to some extent a function of the law it speaks. Were the law to appear to us regularly to violate our deepest moral commitments, we could lose faith in the popular sovereign.</w:t>
      </w:r>
    </w:p>
    <w:p w:rsidR="00464823" w:rsidRDefault="00464823">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Something like this was true for those radical abolitionists who declared the Constitution to be a "covenant with death and an agreement with hell."</w:t>
      </w:r>
      <w:r>
        <w:rPr>
          <w:rFonts w:ascii="Arial" w:hAnsi="Arial" w:cs="Arial"/>
          <w:position w:val="6"/>
          <w:sz w:val="20"/>
          <w:szCs w:val="20"/>
          <w:vertAlign w:val="superscript"/>
        </w:rPr>
        <w:t xml:space="preserve"> </w:t>
      </w:r>
      <w:r>
        <w:rPr>
          <w:rFonts w:ascii="Arial" w:hAnsi="Arial" w:cs="Arial"/>
          <w:sz w:val="20"/>
          <w:szCs w:val="20"/>
        </w:rPr>
        <w:t>On the other hand, our faith in popular sovereignty makes us broadly tolerant of a legal order that never quite meets our moral standards.    . . .</w:t>
      </w:r>
    </w:p>
    <w:p w:rsidR="00464823" w:rsidRDefault="00464823">
      <w:pPr>
        <w:widowControl w:val="0"/>
        <w:autoSpaceDE w:val="0"/>
        <w:autoSpaceDN w:val="0"/>
        <w:adjustRightInd w:val="0"/>
        <w:spacing w:before="100" w:after="100" w:line="240" w:lineRule="auto"/>
        <w:rPr>
          <w:rFonts w:ascii="Arial" w:hAnsi="Arial" w:cs="Arial"/>
          <w:sz w:val="20"/>
          <w:szCs w:val="20"/>
        </w:rPr>
      </w:pPr>
    </w:p>
    <w:p w:rsidR="00464823" w:rsidRDefault="00464823">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 .  For Americans, popular sovereignty is always linked to the rule of law   . . .    all law must show itself, directly or indirectly, as the speech of the popular sovereign. Without that, what purports to be law is only "action under the color of law"; it is unconstitutional. More than theory is at stake here, for if we allow liberalism to block our view of this political experience of popular sovereignty, we will not comprehend the nature of the law in what may be an emerging American Empire. Nor will we understand our deepest disagreements with our old European friends or our new enemies.   . . .</w:t>
      </w:r>
    </w:p>
    <w:p w:rsidR="00464823" w:rsidRDefault="00464823">
      <w:pPr>
        <w:widowControl w:val="0"/>
        <w:autoSpaceDE w:val="0"/>
        <w:autoSpaceDN w:val="0"/>
        <w:adjustRightInd w:val="0"/>
        <w:spacing w:before="100" w:after="100" w:line="240" w:lineRule="auto"/>
        <w:rPr>
          <w:rFonts w:ascii="Arial" w:hAnsi="Arial" w:cs="Arial"/>
          <w:sz w:val="16"/>
          <w:szCs w:val="16"/>
        </w:rPr>
      </w:pPr>
    </w:p>
    <w:p w:rsidR="00464823" w:rsidRDefault="00464823">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 .  We are a people of the Internet. That too may be a powerful political idea, separating friends from enemies. The result will not be the death of politics, but it may very well be the end of the nation-state as we have understood it for the last two hundred years. Political meanings may remain no less vital even as the geography of the political may be shifting.</w:t>
      </w:r>
    </w:p>
    <w:p w:rsidR="00464823" w:rsidRDefault="00464823">
      <w:pPr>
        <w:widowControl w:val="0"/>
        <w:autoSpaceDE w:val="0"/>
        <w:autoSpaceDN w:val="0"/>
        <w:adjustRightInd w:val="0"/>
        <w:spacing w:after="0" w:line="240" w:lineRule="auto"/>
        <w:rPr>
          <w:rFonts w:ascii="Times New Roman" w:hAnsi="Times New Roman" w:cs="Times New Roman"/>
          <w:sz w:val="8"/>
          <w:szCs w:val="8"/>
        </w:rPr>
      </w:pPr>
    </w:p>
    <w:p w:rsidR="00464823" w:rsidRDefault="00464823">
      <w:pPr>
        <w:widowControl w:val="0"/>
        <w:autoSpaceDE w:val="0"/>
        <w:autoSpaceDN w:val="0"/>
        <w:adjustRightInd w:val="0"/>
        <w:spacing w:after="0" w:line="240" w:lineRule="auto"/>
        <w:rPr>
          <w:rFonts w:ascii="Arial" w:hAnsi="Arial" w:cs="Arial"/>
          <w:sz w:val="8"/>
          <w:szCs w:val="8"/>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http://press.princeton.edu/chapters/i7867.html</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before="100" w:after="100" w:line="240" w:lineRule="auto"/>
        <w:rPr>
          <w:rFonts w:ascii="Times New Roman" w:hAnsi="Times New Roman" w:cs="Times New Roman"/>
          <w:sz w:val="8"/>
          <w:szCs w:val="8"/>
        </w:rPr>
      </w:pPr>
      <w:r>
        <w:rPr>
          <w:rFonts w:ascii="Times New Roman" w:hAnsi="Times New Roman" w:cs="Times New Roman"/>
          <w:sz w:val="20"/>
          <w:szCs w:val="20"/>
        </w:rPr>
        <w:tab/>
        <w:t>The essential idea underlying the political thinking in Confucian philosophy is that fallen men require the control of repressive institutions to restore their innate potential for goodness. According to Confucius, civilization is the inherent purpose of human life, not conquest. To advance civilization is the responsibility of the wise and the cultured, both individually and collectively. Enlightened individuals should teach ignorant individuals. Cultured nations should bring civilization to savage tribes.</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tab/>
        <w:t>A superior ruler should cultivate qualities of a virtuous man. His virtue would then influence his ministers around him. They in turn would be examples to others of lower ranks, until all men in the realm are permeated with noble, moral aptitude. The same principle of trickle-down morality would apply to relations between strong and weak nations and between advanced and developing cultures and economies.</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tab/>
        <w:t>Rudyard Kipling's notion of "the white man's burden" would be Confucian in principle, provided that one agrees with his interpretation of the "superiority" of the white man's culture. Modern Confucians would consider Kipling (1865-1936) as having confused Western material progress with moral superiority, as measured by a standard based on virtue.</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tab/>
        <w:t xml:space="preserve">Confucius would have thoroughly approved of the ideas put forth by Plato (427-347 BC) in the </w:t>
      </w:r>
      <w:r>
        <w:rPr>
          <w:rFonts w:ascii="Times New Roman" w:hAnsi="Times New Roman" w:cs="Times New Roman"/>
          <w:i/>
          <w:iCs/>
          <w:sz w:val="20"/>
          <w:szCs w:val="20"/>
        </w:rPr>
        <w:t>Republic,</w:t>
      </w:r>
      <w:r>
        <w:rPr>
          <w:rFonts w:ascii="Times New Roman" w:hAnsi="Times New Roman" w:cs="Times New Roman"/>
          <w:sz w:val="20"/>
          <w:szCs w:val="20"/>
        </w:rPr>
        <w:t xml:space="preserve"> in which a philosopher king rules an ideal kingdom where all classes happily go about performing their prescribed separate socio-economic functions.</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tab/>
        <w:t>Taoists would comment that if only life were so neat and simple, there would be no need for philosophy.</w:t>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tab/>
        <w:t>Confucian ideas have aspects that are similar to Christian beliefs, only down side up. Christ taught the pleasure-seeking and power-craving Greco-Roman world to love the weak and imitate the poor, whose souls were proclaimed as pure. Confucius taught the materialistic Chinese to admire the virtuous and respect the highly placed, whose characters were presumed to be moral.   . . .</w:t>
      </w:r>
    </w:p>
    <w:p w:rsidR="00464823" w:rsidRDefault="00464823">
      <w:pPr>
        <w:widowControl w:val="0"/>
        <w:autoSpaceDE w:val="0"/>
        <w:autoSpaceDN w:val="0"/>
        <w:adjustRightInd w:val="0"/>
        <w:spacing w:before="100" w:after="100" w:line="240" w:lineRule="auto"/>
        <w:rPr>
          <w:rFonts w:ascii="Times New Roman" w:hAnsi="Times New Roman" w:cs="Times New Roman"/>
          <w:sz w:val="8"/>
          <w:szCs w:val="8"/>
        </w:rPr>
      </w:pPr>
    </w:p>
    <w:p w:rsidR="00464823" w:rsidRDefault="00464823">
      <w:pPr>
        <w:widowControl w:val="0"/>
        <w:autoSpaceDE w:val="0"/>
        <w:autoSpaceDN w:val="0"/>
        <w:adjustRightInd w:val="0"/>
        <w:spacing w:before="100" w:after="100" w:line="240" w:lineRule="auto"/>
        <w:rPr>
          <w:rFonts w:ascii="Times New Roman" w:hAnsi="Times New Roman" w:cs="Times New Roman"/>
          <w:sz w:val="8"/>
          <w:szCs w:val="8"/>
        </w:rPr>
      </w:pPr>
      <w:r>
        <w:rPr>
          <w:rFonts w:ascii="Times New Roman" w:hAnsi="Times New Roman" w:cs="Times New Roman"/>
          <w:sz w:val="20"/>
          <w:szCs w:val="20"/>
        </w:rPr>
        <w:tab/>
        <w:t>. . .   History has shown that the West can offer little to the non-Western world beyond rationalization of oppression and technologies of exploitation. If after four centuries of Western modernity the world is still beset with violence, hunger, exploitation and weapons of mass destruction on an unprecedented scale, it follows that its Mandate of Heaven is in jeopardy.</w:t>
      </w:r>
    </w:p>
    <w:p w:rsidR="00464823" w:rsidRDefault="00464823">
      <w:pPr>
        <w:widowControl w:val="0"/>
        <w:autoSpaceDE w:val="0"/>
        <w:autoSpaceDN w:val="0"/>
        <w:adjustRightInd w:val="0"/>
        <w:spacing w:before="100" w:after="100" w:line="240" w:lineRule="auto"/>
        <w:rPr>
          <w:rFonts w:ascii="Times New Roman" w:hAnsi="Times New Roman" w:cs="Times New Roman"/>
          <w:sz w:val="12"/>
          <w:szCs w:val="1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http://www.atimes.com/atimes/China/EG24Ad01.html</w:t>
      </w:r>
    </w:p>
    <w:p w:rsidR="00464823" w:rsidRDefault="00464823">
      <w:pPr>
        <w:widowControl w:val="0"/>
        <w:autoSpaceDE w:val="0"/>
        <w:autoSpaceDN w:val="0"/>
        <w:adjustRightInd w:val="0"/>
        <w:spacing w:after="0" w:line="240" w:lineRule="auto"/>
        <w:rPr>
          <w:rFonts w:ascii="Times New Roman" w:hAnsi="Times New Roman" w:cs="Times New Roman"/>
          <w:sz w:val="12"/>
          <w:szCs w:val="12"/>
        </w:rPr>
      </w:pPr>
    </w:p>
    <w:p w:rsidR="00464823" w:rsidRDefault="00464823">
      <w:pPr>
        <w:widowControl w:val="0"/>
        <w:autoSpaceDE w:val="0"/>
        <w:autoSpaceDN w:val="0"/>
        <w:adjustRightInd w:val="0"/>
        <w:spacing w:after="0" w:line="240" w:lineRule="auto"/>
        <w:rPr>
          <w:rFonts w:ascii="Times New Roman" w:hAnsi="Times New Roman" w:cs="Times New Roman"/>
          <w:sz w:val="34"/>
          <w:szCs w:val="34"/>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16"/>
          <w:szCs w:val="16"/>
        </w:rPr>
      </w:pPr>
    </w:p>
    <w:p w:rsidR="00464823" w:rsidRDefault="00464823">
      <w:pPr>
        <w:widowControl w:val="0"/>
        <w:autoSpaceDE w:val="0"/>
        <w:autoSpaceDN w:val="0"/>
        <w:adjustRightInd w:val="0"/>
        <w:spacing w:after="0" w:line="240" w:lineRule="auto"/>
        <w:rPr>
          <w:rFonts w:ascii="Times New Roman" w:hAnsi="Times New Roman" w:cs="Times New Roman"/>
          <w:sz w:val="16"/>
          <w:szCs w:val="16"/>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The Dutch jurist Hugo Grotius is considered the founder of the modern theory of natural law. His break with Scholasticism is in methodology rather than content. His definition of natural law as that body of rules which can be discovered by the use of reason is traditional, but in raising the hypothetical argument that his law would have validity even if there were no God or if the affairs of human beings were of no concern to God, he effected a divorce from theological presuppositions and prepared the way for the purely rationalistic theories of the 17th and 18th centuries. A second innovation of Grotius was to view this law as deducible and independent of experience: “Just as the mathematicians treat their figures as abstracted from bodies, so in treating law I have withdrawn my mind from every particular fact” (</w:t>
      </w:r>
      <w:r>
        <w:rPr>
          <w:rFonts w:ascii="Arial" w:hAnsi="Arial" w:cs="Arial"/>
          <w:i/>
          <w:iCs/>
          <w:sz w:val="20"/>
          <w:szCs w:val="20"/>
        </w:rPr>
        <w:t>De Iure Belli ac Pacis;</w:t>
      </w:r>
      <w:r>
        <w:rPr>
          <w:rFonts w:ascii="Arial" w:hAnsi="Arial" w:cs="Arial"/>
          <w:sz w:val="20"/>
          <w:szCs w:val="20"/>
        </w:rPr>
        <w:t xml:space="preserve"> On the Law of War and Peace, 1625).</w:t>
      </w: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The German jurist Samuel von Pufendorf, the first to hold a chair of natural law in a German university, more fully developed the concept of a law of nature. The 17th-century English philosophers Thomas Hobbes and John Locke proposed an original state of nature from which a social contract arose and combined this theory with that of natural law. Locke's doctrine that nature had endowed human beings with certain inalienable rights that could not be violated by any governing authority was incorporated in the American Declaration of Independence.</w:t>
      </w: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In the 19th century a critical spirit dominated discussions of natural law. The existence of a natural law was generally regarded as unprovable, and it was largely replaced in legal theory by utilitarianism, formulated by the English philosopher Jeremy Bentham as “the greatest happiness of the greatest number,” and by legal positivism, according to which law is based simply on “the command of the ruler,” in the phrase of the English jurist John Austin.</w:t>
      </w: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The atrocities committed by Nazi Germany during World War II revived interest in a higher standard than positive law. The United Nations Charter declared the “faith” of that organization in human rights, and on December 10, 1948, the UN General Assembly adopted the Universal Declaration of Human Rights, which, however, is more a moral pronouncement than a legally enforceable treaty. </w:t>
      </w:r>
      <w:r w:rsidRPr="003C5E9A">
        <w:rPr>
          <w:rStyle w:val="FootnoteReference"/>
        </w:rPr>
        <w:footnoteReference w:id="1"/>
      </w:r>
    </w:p>
    <w:p w:rsidR="00464823" w:rsidRDefault="00464823">
      <w:pPr>
        <w:widowControl w:val="0"/>
        <w:autoSpaceDE w:val="0"/>
        <w:autoSpaceDN w:val="0"/>
        <w:adjustRightInd w:val="0"/>
        <w:spacing w:after="140" w:line="280" w:lineRule="atLeast"/>
        <w:ind w:right="180"/>
        <w:rPr>
          <w:rFonts w:ascii="Arial" w:hAnsi="Arial" w:cs="Arial"/>
          <w:sz w:val="20"/>
          <w:szCs w:val="20"/>
        </w:rPr>
      </w:pP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In the history of ethics there are three principal standards of conduct, each of which has been proposed as being better than the other two: happiness or pleasure; duty, virtue, or obligation; and perfection, the fullest harmonious development of human potential.</w:t>
      </w: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Depending on the social setting, the authority invoked for good conduct is the will of a deity, the pattern of nature, or the rule of reason. When the will of a deity is the authority, obedience to the divine commandments in scriptural texts is the accepted standard of conduct. If the pattern of nature is the authority, conformity to the qualities attributed to human nature is the standard. When reason rules, behavior is expected to result from rational thought. </w:t>
      </w:r>
      <w:r w:rsidRPr="003C5E9A">
        <w:rPr>
          <w:rStyle w:val="FootnoteReference"/>
        </w:rPr>
        <w:footnoteReference w:id="2"/>
      </w:r>
    </w:p>
    <w:p w:rsidR="00464823" w:rsidRDefault="00464823">
      <w:pPr>
        <w:widowControl w:val="0"/>
        <w:autoSpaceDE w:val="0"/>
        <w:autoSpaceDN w:val="0"/>
        <w:adjustRightInd w:val="0"/>
        <w:spacing w:after="140" w:line="280" w:lineRule="atLeast"/>
        <w:ind w:right="180"/>
        <w:rPr>
          <w:rFonts w:ascii="Arial" w:hAnsi="Arial" w:cs="Arial"/>
          <w:sz w:val="24"/>
          <w:szCs w:val="24"/>
        </w:rPr>
      </w:pP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Spinoza's conception of essences is closely related to the Scholastic conception of “reals” and to Plato's conception of archetypal Ideas, although it differs from both in certain important respects. Spinoza conceived essences as hypostatizations (conceptual entities) of the universal aspect of all things. The fundamental difference between existences and essences in Spinoza's cosmology is that the former have their being in time, but the latter are outside of time. Because mortality can pertain only to things subject to the law of time, the realm of essences, being timeless, must consequently be eternal. Nevertheless, the realm of essences is a realm of immanent being.</w:t>
      </w:r>
    </w:p>
    <w:p w:rsidR="00464823" w:rsidRDefault="00464823">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Every existence has, as previously indicated, a universal or essential character, although to realize this character the existent thing must transcend its own intrinsic form, that is, free itself from the boundaries of its own structure. The realm of essences thus has a kind of being within the realm of existences (the former being the immanent cause of the latter), although it does not share its temporal limitation. Immanent causation, according to Spinoza's metaphysics, means self-causation, and that which is self-determined is free.</w:t>
      </w: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From this reasoning Spinoza developed his doctrine of freedom as a good to be won only in the realm of essences. Existence in either attribute (extension or thought) is bondage, for each existent thing is determined by its own causal series; every particular object or idea is subject to other objects or ideas, and the form of its being is determined by them. Only in nontemporal, self-caused being, that is, in the universal and immanent, is complete freedom possible; only by identification with substance, or God, is immortality, and with it peace, obtained. </w:t>
      </w:r>
      <w:r w:rsidRPr="003C5E9A">
        <w:rPr>
          <w:rStyle w:val="FootnoteReference"/>
        </w:rPr>
        <w:footnoteReference w:id="3"/>
      </w:r>
    </w:p>
    <w:p w:rsidR="00464823" w:rsidRDefault="00464823">
      <w:pPr>
        <w:widowControl w:val="0"/>
        <w:autoSpaceDE w:val="0"/>
        <w:autoSpaceDN w:val="0"/>
        <w:adjustRightInd w:val="0"/>
        <w:spacing w:after="140" w:line="280" w:lineRule="atLeast"/>
        <w:ind w:right="180"/>
        <w:rPr>
          <w:rFonts w:ascii="Arial" w:hAnsi="Arial" w:cs="Arial"/>
          <w:sz w:val="20"/>
          <w:szCs w:val="20"/>
        </w:rPr>
      </w:pP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All objects in nature are composed of two inherent forces: law, an immaterial universal principle; and the substance of which all material things are made. All things are alternately combined and separated by two opposite forces, love and strife. Whereas the substance may change and dissolve, the underlying law of the myriad things, remains constant and indestructible. The law in humankind is human nature, which is essentially the same for all people. The phenomenon of particular differences can be attributed to the varying proportions and densities of the substance found among individuals. Thus, those who receive a substance that is turbid will find their original nature obscured and should cleanse their nature to restore its purity. Purity can be achieved by extending one's knowledge of the law in each individual object.</w:t>
      </w: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Apart from the mind, neither law nor object exists. In the mind are embodied all the laws of nature, and nothing exists without the mind. One's supreme effort should be to develop the intuitive knowledge of the mind, not through the study or investigation of natural law, but through intense thought and calm meditation.</w:t>
      </w: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All events occur according to a fixed and inevitable destiny that individual will neither controls nor affects. Preceding events have no causal connection with the events that follow. A fated event takes place not according to a natural law but in accordance with a decree issued by a power, perhaps ages before.</w:t>
      </w: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All things are in a state of continuous flux, stability is an illusion, and only change and the law of change, or Logos, are real.</w:t>
      </w:r>
    </w:p>
    <w:p w:rsidR="00464823" w:rsidRDefault="00464823">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The universe, or the state of being, is an indivisible, unchanging, spherical entity and all reference to change or diversity is self-contradictory. Nothing can be truly asserted except that being is.</w:t>
      </w:r>
    </w:p>
    <w:p w:rsidR="00464823" w:rsidRDefault="00464823">
      <w:pPr>
        <w:widowControl w:val="0"/>
        <w:autoSpaceDE w:val="0"/>
        <w:autoSpaceDN w:val="0"/>
        <w:adjustRightInd w:val="0"/>
        <w:spacing w:after="140" w:line="280" w:lineRule="atLeast"/>
        <w:ind w:right="180"/>
        <w:rPr>
          <w:rFonts w:ascii="Arial" w:hAnsi="Arial" w:cs="Arial"/>
          <w:sz w:val="10"/>
          <w:szCs w:val="10"/>
        </w:rPr>
      </w:pPr>
      <w:r>
        <w:rPr>
          <w:rFonts w:ascii="Arial" w:hAnsi="Arial" w:cs="Arial"/>
          <w:sz w:val="20"/>
          <w:szCs w:val="20"/>
        </w:rPr>
        <w:tab/>
        <w:t>All things are alternately combined and separated by two opposite forces, love and strife. By this process the world evolves from chaos to form and back to chaos again, in an eternal cycle, and all things are composed of very small particles, or “seeds,” which exist in infinite variety.</w:t>
      </w:r>
      <w:r>
        <w:rPr>
          <w:rFonts w:ascii="Arial" w:hAnsi="Arial" w:cs="Arial"/>
          <w:sz w:val="8"/>
          <w:szCs w:val="8"/>
        </w:rPr>
        <w:t xml:space="preserve"> </w:t>
      </w:r>
    </w:p>
    <w:p w:rsidR="00464823" w:rsidRDefault="00464823">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4"/>
          <w:szCs w:val="24"/>
        </w:rPr>
        <w:t>~~~~</w:t>
      </w:r>
      <w:r>
        <w:rPr>
          <w:rFonts w:ascii="Arial" w:hAnsi="Arial" w:cs="Arial"/>
          <w:sz w:val="24"/>
          <w:szCs w:val="24"/>
        </w:rPr>
        <w:tab/>
        <w:t>~~~~~~~</w:t>
      </w:r>
      <w:r>
        <w:rPr>
          <w:rFonts w:ascii="Arial" w:hAnsi="Arial" w:cs="Arial"/>
          <w:sz w:val="24"/>
          <w:szCs w:val="24"/>
        </w:rPr>
        <w:tab/>
        <w:t>~~~~~~~</w:t>
      </w:r>
      <w:r>
        <w:rPr>
          <w:rFonts w:ascii="Arial" w:hAnsi="Arial" w:cs="Arial"/>
          <w:sz w:val="24"/>
          <w:szCs w:val="24"/>
        </w:rPr>
        <w:tab/>
        <w:t>~~~~~~~</w:t>
      </w:r>
      <w:r>
        <w:rPr>
          <w:rFonts w:ascii="Arial" w:hAnsi="Arial" w:cs="Arial"/>
          <w:sz w:val="24"/>
          <w:szCs w:val="24"/>
        </w:rPr>
        <w:tab/>
        <w:t>~~~~~~~</w:t>
      </w:r>
      <w:r>
        <w:rPr>
          <w:rFonts w:ascii="Arial" w:hAnsi="Arial" w:cs="Arial"/>
          <w:sz w:val="24"/>
          <w:szCs w:val="24"/>
        </w:rPr>
        <w:tab/>
        <w:t>~~~~~~~</w:t>
      </w:r>
      <w:r>
        <w:rPr>
          <w:rFonts w:ascii="Arial" w:hAnsi="Arial" w:cs="Arial"/>
          <w:sz w:val="24"/>
          <w:szCs w:val="24"/>
        </w:rPr>
        <w:tab/>
        <w:t>~~~</w:t>
      </w: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Politics and Politics - from Power as Control, to Power as Caring</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Angela Nobre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relationship between knowledge and power has long been recognised. Probably the most interesting analysis of the interrelations between knowledge and power has been developed by Michel Foucault.</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Foucault was a historian and his thought has had a huge influence in the second half of the twentieth century so that he is considered to be a genius and one of the most influential thinkers of recent times.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Foucault’s analysis of the rise of the modern medical profession in the eighteenth and nineteenth centuries     . . .   was highly critical not only of medicine but of all social sciences.</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His argument is that modern society exercises a hidden and pernicious control over individuals. With the rise of scientific knowledge and the institutionalisation of modern forms of knowledge creation, acquisition and dissemination, what is assumed to be right and true depends on the power of experts who are legitimised by society’s structures and institutions.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For Foucault, every kind of knowledge, in particular scientific knowledge, is a form of power so that all knowledge production is also a power practice.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Darwin is well known for his theories of natural selection; however, he also developed other theories which are highly relevant for the understanding of what may be expected, or else, of the possible potential of knowledge management theory and practice. Darwin interpreted social practices such as collaboration, cooperation and altruistic behaviour as sophisticated forms of species’ development. The more complex the environment, the further the importance of forms of social collaboration. The works of Antonio Damasio, a Portuguese contemporary neuroscientist working in the United States of America, relates the importance of social behaviour for species development and survival in the case of the human beings with three critical issues: the use of memory, the use of language and the use of the imagination. It is fascinating to see how the work performed by neuroscientists supports the conclusions of the works of thinkers such as Foucault who stressed the importance of discourse in defining human being’s endeavours.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issue is one of understanding what complexity means and implies and to acknowledge that ‘caring for others’ is also a form of non-altruistic behaviour, i.e. it implies the understanding that caring for others is a necessary and automatic component of individual’s own objectives in a context of high complexity. To put it in other words, a complexity perspective forces the awareness of the interrelations which are often neglected and taken for granted. </w:t>
      </w:r>
      <w:r w:rsidRPr="003C5E9A">
        <w:rPr>
          <w:rStyle w:val="FootnoteReference"/>
        </w:rPr>
        <w:footnoteReference w:id="4"/>
      </w:r>
      <w:r>
        <w:rPr>
          <w:rFonts w:ascii="Arial" w:hAnsi="Arial" w:cs="Arial"/>
          <w:sz w:val="20"/>
          <w:szCs w:val="20"/>
        </w:rPr>
        <w:t xml:space="preserve"> By explicitly investing in the promotion of the collaborative aspects of these relations both altruistic and non-altruistic behaviours converge. Knowledge management may be interpreted as promoting the theorisation and practical development, at organisational level, of this integration. Therefore, knowledge management should rightly avoid and help to denounce the ‘politics’ related to power issues of dominance and control and should explicitly address the ‘politics’ of transformative and creative ‘power’.</w:t>
      </w: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http://www.knowledgeboard.com/item/1280</w:t>
      </w: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[Description of:] Democracy versus Modernization - A Dilemma for Russia and for the World</w:t>
      </w:r>
    </w:p>
    <w:p w:rsidR="00464823" w:rsidRDefault="00464823">
      <w:pPr>
        <w:widowControl w:val="0"/>
        <w:autoSpaceDE w:val="0"/>
        <w:autoSpaceDN w:val="0"/>
        <w:adjustRightInd w:val="0"/>
        <w:spacing w:after="0" w:line="240" w:lineRule="auto"/>
        <w:rPr>
          <w:rFonts w:ascii="Arial" w:hAnsi="Arial" w:cs="Arial"/>
          <w:sz w:val="12"/>
          <w:szCs w:val="12"/>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Edited by Vladislav Inozemtsev, [Director Centre for Post-Industrial Studies, Moscow]</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Piotr Dutkiewicz, [Director Centre for Governance and Public Management, Carleton University, Canada]</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Routledge – 2013 – 254 pages</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Series: BASEES/Routledge Series on Russian and East European Studies</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$165.00  -   978-0-415-50664-9   -  July 1st 2012</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book seeks to "re-think democracy." Over the past years, there has been a tendency in the global policy community and, even more widely, in the world’s media, to focus on democracy as the "gold standard" by which all things political are measured. This book re-examines democracy in Russia and in the world more generally, as idea, desired ideal, and practice.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major issue for Russia is whether the modernization of Russia might not prosper better by Russia focusing directly on modernization and not worrying too much about democracy. This book explores a wide range of aspects of this important question. It discusses how the debate is conducted in Russia; outlines how Russians contrast their own experiences, unfavourably, with the experience of China, where reform and modernization have been pursued with great success, with no concern for democracy; and concludes by assessing how the debate in Russia is likely to be resolved.</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Contents</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Introduction</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Part I: General Theory of Democracy 1. Democracy and Rights: the Greatest Dilemma of Our Times Daniel Bell 2. Democracy as Spectre, Dream and Reality John Dunn 3. "Universal Value" at its "Natural Limit"? Vladislav Inozemtsev 4. From Agora to the Marketplace – Whereto from Here? Zygmunt Bauman 5. Transitional Economies and the Commodification of Democracy Piotr Dutkiewicz 6. Overturning the Authoritarian Majority – Not an Easy Task Mark Urnov</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Part II: Realities of Democratization 7. From the 19th to the 21st Century Democracy: What is Next Step? Alexei Miller 8. Democracy in China: Challenge or Opportunity? Yu Keping 9. Democracy and How it is used in Russia Gleb Pavlovsky 10. Democracy and Dissatisfaction Ivan Krastev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Part III: Democracy and Modernization 11. Modernization and Democracy Ronald Inglehart 12. Democratization and Modernization in the Context of the Transformation of Post-Soviet States Andrei Ryabov 13. Democracy vs. Efficiency: The Challenge of the 21st Century Parag Khanna 14. From Authoritarianism to Democracy along the Paths of Modernization: From the General to the Specific Victor Krasilshchikov 15. Market-States and Post-Democracy Adrian Pabst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Part IV: Democracy in the World 16. Less Means More: the Moral Virtue of Political Minimalism Amitai Etzioni 17. Hope for Global Democracy as a Challenge to the 21st Century Daniele Archibugi 18. Democracy in the Era of Limited Sovereignty Ekaterina Kuznetsova 19. New Debates over Global Democracy and International Democracy Promotion Thomas Carothers</w:t>
      </w: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http://www.tandf.net/books/details/9780415506649/</w:t>
      </w: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Global Multiculturalism Versus the “War of Cultures”</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Ada Aharoni</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IFLAC Pave Peace, Israel</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Abstract</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are today in the midst of a relentless “War of Cultures”, that is causing ravaging violence and destructive wars in the Middle East and in other parts of the world.</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overcome cultural barriers and mistrust of other civilizations and cultures, all governments, educational institutions, and the global media, should inter-connect to promote a harmonious “Global Multiculturalism,” which would include, among others, principles of the equality of women and men.</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best way to accomplish this tremendous task, is by the creation of a network of the  “Global TV by Satellite for Peace Culture,” (GSPC), proposed by IFLAC, which can effectively promote "Global Multiculturalism" all over the world and help build an innovative, peaceful global village, beyond war, terror and violence. A Model of the suggested “Global TV by Satellite for Peace Culture”(GSPC), is described.</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Turkey is the ideal place for the establishment of such a major global project, as it is a natural cultural bridge between East and West.</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era of globalization, there is a new wave of global culture spreading all over the world, parallel to the spreading of a global economy, international relations, markets, information and technology.  However, it is unfortunate that the emerging global culture instead of promoting a culture of peace, harmony and positive ethical values, is often influenced by the predominance of the presentation of violence, crime and homicide films daily shown on global television, and other electronic media.</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media should be brought to regard “Peace News” as “newsworthy,” and a balance should be achieved between the reporting of “good and hopeful news” and the sensational reporting of violence and crime. The disproportional amount of homicidal and crime news inflate the negative aspects of society and are a deformation of reality and normalcy.   Hence, it is crucial to quickly create and develop an ethical multicultural peace media and network, to counteract destructive influences and trends, and to build global peace.  The "Peace Radio," linked to the UN University based in Porto Rico, is an example of the suggested multicultural peace media system.</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most television networks are chiefly framed from the point of view and perspectives of the sensational and what is violent in our world, the “The Global TV by Satellite  Network for Peace Culture” – the GSPC, will be directed and framed by peace culture researchers, and it will have an agenda set by peace writers and media.</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IFLAC “Global Television Network by Satellite for Peace Culture,” will be an independent, not-for-profit project. It is initiated by IFLAC PAVE PEACE: The International Forum for the Literature and Culture of Peace: www.iflac.com , www.iflac.com/ada</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will function in collaboration with major networks and institutions, and it will receive counsel from an International Advisory Board comprised of the Directors and of IFLAC in various countries. These leaders are outstanding individuals from the academic peace research sector, literary, social and philanthropic segments of society.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Major Television Networks not only choose to cover mostly disastrous news, but furthermore, they constantly air violent homicide and murder films that have a negative and destructive influence on society. The predominant coverage of mostly violent and destructive events in the global media, and the airing of violent and unethical films - will have to change.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would be a valuable and important step if this prestigious Conference in Istanbul, on “Globalization for the Common Good”, would recommend the foundation of the “Global TV by Satellite for Peace Culture” (GSPC), to the Turkish government, and that it would indeed implement it. Turkey is the ideal place for the establishment of such a major global project, as it is a natural cultural bridge between East and West.</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GSPC could start from some weekly hours, and gradually work up to twenty four hours a day, broadcasting at the beginning from Istanbul, Haifa, and Ramallah, in English, Turkish, Hebrew and Arabic, and it can gradually add other major languages, so as to make it a real multicultural Global Television for Peace Culture. When more support becomes available, by the UN and other major Institutions, it is hoped that in time, the GSPC will become fully multicultural and be globally available through a powerful global satellite.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GSPC will also include a “Peace Culture University of the Air,” that will develop a systematic and sustained program of study on the theory, principles and practice of multiculturalism and the culture of peace. Among various other subjects, it will provide the study of the lives, thoughts and examples of great peace leaders, such as Mahatma Gandhi, Luther King, Anwar Sadat, and Yitzhak Rabin, and the various remarkable and outstanding women peace leaders and thinkers, throughout history, such as Queen Hatshapshut of ancient Egypt, Florence Nightingale, Sister Theresa, and Sister Thea. Thea Woolf was the Head Nurse of the Jewish Hospital in Alexandria, who saved Jews from the Nazi Holocaust, with the aid of Moslem Egyptian officials, as related in “Not In Vain: An Extraordinary Life.”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principles and theories of these various Peace Leaders will be integrated into the agenda of the “GSPC University of the Air”. Its curriculum will include various subjects, such as: Sociology, Literature, Interrelated-Religions, History, Psychology, Science, Media and Communications, Women Studies, and Art  - all from the point of view of Peace Studies.  It will also establish interrelated programs of intensive “Regional Culture for Peace” units, which will objectively examine in depth specific conflicts, such as the long and acute Israeli – Palestinian conflict, and offer ways how to resolve them.   For example, at this juncture, if it were to comment on this, it would probable state that the best way to solve the Palestinian – Israeli conflict is the “Two States” solution, proposed by the European Community, the Quartet and the Arab League Initiative.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those who doubt that the GSPC can be effectively created and have a major revolutionary impact on the world, let us consider for example, the Al – Jazeera Television. A few years ago it was difficult to imagine that a small, new Arabic channel would lead news agenda, stir the world and throw serious challenges to media monopoly. Today, Al-Jazeera, a Qatar based independent television channel, stimulates and creates controversies in and out of the Arab world, as well as in Europe and America.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References</w:t>
      </w:r>
    </w:p>
    <w:p w:rsidR="00464823" w:rsidRDefault="00464823">
      <w:pPr>
        <w:widowControl w:val="0"/>
        <w:autoSpaceDE w:val="0"/>
        <w:autoSpaceDN w:val="0"/>
        <w:adjustRightInd w:val="0"/>
        <w:spacing w:after="0" w:line="240" w:lineRule="auto"/>
        <w:rPr>
          <w:rFonts w:ascii="Arial" w:hAnsi="Arial" w:cs="Arial"/>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Books and Articles by Professor Dr. Ada Aharoni (1979 – 2007)</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Aharoni Ada. ed. et al (1993). A Song to Life and to World Peace: Selected essays and poems presented at the XIII World Congress of Poets of the World Academy of Arts and Culture, Jerusalem: Posner and Sons., Jerusalem (Jerusalem Books: jerboooks@netmedia.co.il ),  ISBN 965-219-013-6.   www.amazon.com</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Aharoni Ada. (1995) Peace Flower: A Space Adventure, A Quest for World Peace for young and old, 119 pp. Haifa: M. Lachman’ ISBN: 965-9013930.  Amazon.com  and www.iflac.com/ada</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Aharoni Ada ed. (1987 -2003). Galim-Waves Culture of Peace Anthology,(Numbers 1 to 10). Galim Number 8: Waves of Peace, In  Memory of Yitzhak Rabin, Selected essays and poems. New Waves 2000, and 2003: Peace Culture Anthology,  (Galim- Waves: 9 and 10), include essays by Albert Einstein, Shimon Peres, Kofi Annan, Saul Bellow, and selected articles, poems, pictures and paintings. (IFLAC) Jerusalem Books. ISBN 965-222-774-9, and  ISBN: 965-902-900-4.  www.amazon.com</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Aharoni Ada. (1998) Not In Vain: An Extraordinary Life, 218 pp. CA: Ladybug Press,  ISBN:  1-889409-18-9.    Amazon.com</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Aharoni A. (1999). From the Nile to the Jordan, 146 pp. (Jerusalem Books: JERBOOKS@NETMEDIA.CO.IL), ISBN: 965-9013981   www.iflac.com  amazon.com</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Aharoni, A. ed. (1996-1999). Horizon: Pave Peace, Peace Culture Online Magazine, nos. 1–5, Number 4 is dedicated to “Women, Children and Peace,” www.New-Horizon.up.co.il</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Aharoni Ada. (2000). Peacemaking Through Culture: A New Approach to the Arab/Palestinian–Israeli Conflict, in Peace Studies from a Global Perspective: Human Needs in a Cooperative World, ed. Ursula Oswald Spring, pp. 252-280. Delhi: Maadhyam Book Services, maadhyam@india.com</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Aharoni, Ada. (2000). You and I Can Change the World, Includes Poems from Israel, International Peace Poetry, Letter to An Arab Friend, and pictures of Israelis and Palestinians together in Gaza.  Micha Lachmann. ISBN 965-901-399X amazon.com www.iflac.com/ada   amazon.com</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Aharoni Ada. (2001). Women: Creating A World Beyond War and Violence, Selected articles, letters, poetry, documents and pictures, on women's struggle for World Peace (Jerusalem Books: POB 26190, Jerusalem, Israel, 91261),ISBN: 965-7204-00-3.  www.iflac.com</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Aharoni Ada.  (2001).  A New Peace Culture Required for Sustainable Global Development, Our Fragile World: Challenges and Opportunities for Sustainable Development - Forerunner to the Encyclopedia of Life Support Systems: Unesco, ed. M.K.Tolba, Eolss Publishers Co. Ltd. Oxford, UK, pp. 917-935.</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Ada Aharoni. (2007). Peace Poems – Atrilingual edition: Arabic, Hebrew and English.  www.iflac.com/ada  amazon.com</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By Other Authors:</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Deif Mohamed Fawzi. (1995). The Significance of Peace in the Poetry of A. Aharoni, 200 pp. Cairo University, Egypt: The Nile Publications. (In Arabic and Hebrew).</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Naomi Chazan. “War and Peace don’t go together” The Jerusalem Post, Israel, May 18, 2007, p. 9.</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r>
        <w:rPr>
          <w:rFonts w:ascii="Times New Roman" w:hAnsi="Times New Roman" w:cs="Times New Roman"/>
          <w:sz w:val="20"/>
          <w:szCs w:val="20"/>
        </w:rPr>
        <w:t>McConon Shay &amp; McConnon Margaret (2002). Resolving Conflict. Oxford: How To Books.</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Dejong W. (1993) Building A Peace: The Resolving Conflict Creatively Program. Washington DC: US Department of Justice.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 xml:space="preserve"> </w:t>
      </w:r>
      <w:r>
        <w:rPr>
          <w:rFonts w:ascii="Arial" w:hAnsi="Arial" w:cs="Arial"/>
          <w:sz w:val="20"/>
          <w:szCs w:val="20"/>
        </w:rPr>
        <w:tab/>
      </w:r>
      <w:r>
        <w:rPr>
          <w:rFonts w:ascii="Times New Roman" w:hAnsi="Times New Roman" w:cs="Times New Roman"/>
          <w:sz w:val="24"/>
          <w:szCs w:val="24"/>
        </w:rPr>
        <w:tab/>
      </w:r>
      <w:r>
        <w:rPr>
          <w:rFonts w:ascii="Times New Roman" w:hAnsi="Times New Roman" w:cs="Times New Roman"/>
          <w:sz w:val="20"/>
          <w:szCs w:val="20"/>
        </w:rPr>
        <w:t xml:space="preserve">       --- http://lass.calumet.purdue.edu/cca/jgcg/2008/sp08/jgcg-sp08-aharoni.htm</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8"/>
          <w:szCs w:val="28"/>
        </w:rPr>
        <w:tab/>
        <w:t>Spanish Intellectual Thought</w:t>
      </w:r>
    </w:p>
    <w:p w:rsidR="00464823" w:rsidRDefault="00464823">
      <w:pPr>
        <w:widowControl w:val="0"/>
        <w:autoSpaceDE w:val="0"/>
        <w:autoSpaceDN w:val="0"/>
        <w:adjustRightInd w:val="0"/>
        <w:spacing w:after="0" w:line="240" w:lineRule="auto"/>
        <w:rPr>
          <w:rFonts w:ascii="Times New Roman" w:hAnsi="Times New Roman" w:cs="Times New Roman"/>
          <w:sz w:val="12"/>
          <w:szCs w:val="12"/>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most part people have viewed the Spanish conquest as having been a blatant attempt to exploit both the inhabitants and the materials of the New World. However, most people are unaware the Spanish had a great deal of concern over the legitimacy of the conquest of the Americas and about the rights of the Indians living there. This concern about the legitimacy of the conquest became a dominant theme for Spanish intellectual life in the sixteenth century.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fact, the Spanish, and only the Spanish, reflected at length on the morality or legality of what they were doing as they encountered the New World and its inhabitants. From the very beginning of contact with the New World, Spanish officials, guided by a long intellectual tradition, acted to prevent the exploitation of the peoples of the New World. For example, Columbus's attempt to create a trade in slaves drawn from the ranks of the Indians in the Caribbean caused Queen Isabella to forbid such trade as early as 1500. In addition, these issues were often debated as in the famous rights of Indians debate in 1550 between Bartolome de Las Casas and Juan Gines de Sepulveda before representatives of the Emperor Charles V. This concern about the legitimacy of the conquest continued for centuries.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ab/>
      </w:r>
      <w:r>
        <w:rPr>
          <w:rFonts w:ascii="Arial" w:hAnsi="Arial" w:cs="Arial"/>
          <w:sz w:val="20"/>
          <w:szCs w:val="20"/>
        </w:rPr>
        <w:t>The Crown viewed the bulls of 1493 as a clear instruction to undertake the conversion of the American Indians to Christianity. The discussion of these matters was long confined to Catholics and no Catholic could deny the right of the Pope to give such an instruction, or the duty of the Spanish monarch to carry it out. To what extent, however, were they authorized to use secular means to this spiritual end?</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Could the duty of conversion be held to justify armed conquest, the deposition of native rulers -- if indeed the Indians had legitimate rulers -- the assertion of Spanish sovereignty over the Indians in general? If this central question could be answered affirmatively it gave rise in turn to subsidiary questions. If the Indians should be reduced, by a just conquest, to the position of subjects of the Spanish crown, what legal and political rights remained to them? Should they be converted by compulsion? Were they to be subject to Spanish court and Spanish law, civil or ecclesiastical? Might they be commended to individual Spanish feudatories, deprived of their land, put to forced labor, enslaved? These questions exercised some of the best intellectual minds of the time.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ab/>
        <w:t>The result of this Spanish interest in the legitimacy of the conquest of the Americas lead to an extraordinary out pouring of books on political and legal thought that dealt with various aspects of the conquest. These books represent long neglected sixteenth-century thought that contemporary authors have begun to study.</w:t>
      </w:r>
    </w:p>
    <w:p w:rsidR="00464823" w:rsidRDefault="00464823">
      <w:pPr>
        <w:widowControl w:val="0"/>
        <w:autoSpaceDE w:val="0"/>
        <w:autoSpaceDN w:val="0"/>
        <w:adjustRightInd w:val="0"/>
        <w:spacing w:after="0" w:line="240" w:lineRule="auto"/>
        <w:rPr>
          <w:rFonts w:ascii="Times New Roman" w:hAnsi="Times New Roman" w:cs="Times New Roman"/>
          <w:sz w:val="12"/>
          <w:szCs w:val="12"/>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http://www.umich.edu/~ece/student_projects/conquest/intellectual-2.html</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Joseph Sobran: Far Worse than a Holocaust Skeptic</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Jeet Heer     -    Oct. 3, 2010</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I’ve noted before, the death of a bigot presents a problem for obituary writers. Politeness dictates that we skimp over the misdeeds of the dead while honesty requires a fuller reckoning with the past.</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Joseph Sobran, onetime National Review editor, died earlier this week.   . . .  Sobran was known, to the extent he’s known at all, as someone who made repeated statements about Jews that were   . . .   embarrassing     . . .    Eventually, [William F.] Buckley’s magazine severed its ties with Sobran over the Jewish question.</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is how William Grimes of the New York Times dealt with the controversial aspects of Sobran’s career:   “Mr. Sobran’s isolationist views on American foreign policy and Israel became increasingly extreme. He took a skeptical line on the Holocaust and said the Sept. 11 terror attacks were a result of American foreign policy in the Middle East, which he believed that a Jewish lobby directed.    . . .   ‘Nobody has ever accused me of the slightest personal indecency to a Jew,’ he said in a speech delivered at a 2002 conference of the Institute for Historical Review.    . . .   “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hate to nitpick another journalist’s work, but   . . .   Sobran did more than “take a skeptical line of the Holocaust.”</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Sobran, to be blunt, became a Nazi fellow-traveler. Most readers of the Times won’t know what the Institute for Historical Review is.   . . .   It is   . . .  an organization devoted to Holocaust denial and other forms of Nazi apologetics.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Sobran’s essay 1999 essay “The Church and Jewish Ideology”:</w:t>
      </w:r>
    </w:p>
    <w:p w:rsidR="00464823" w:rsidRDefault="00464823">
      <w:pPr>
        <w:widowControl w:val="0"/>
        <w:autoSpaceDE w:val="0"/>
        <w:autoSpaceDN w:val="0"/>
        <w:adjustRightInd w:val="0"/>
        <w:spacing w:after="0" w:line="240" w:lineRule="auto"/>
        <w:rPr>
          <w:rFonts w:ascii="Arial" w:hAnsi="Arial" w:cs="Arial"/>
          <w:sz w:val="24"/>
          <w:szCs w:val="24"/>
        </w:rPr>
      </w:pPr>
    </w:p>
    <w:p w:rsidR="00464823" w:rsidRDefault="00464823">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In intellectual life, Jews have been brilliantly subversive of the cultures of the natives they have lived amongst. Their tendencies, especially in modern times, have been radical and nihilistic.    . . .   Einstein   . . .   consistently defended the Soviet Union under Stalin.   . . . </w:t>
      </w:r>
    </w:p>
    <w:p w:rsidR="00464823" w:rsidRDefault="00464823">
      <w:pPr>
        <w:widowControl w:val="0"/>
        <w:autoSpaceDE w:val="0"/>
        <w:autoSpaceDN w:val="0"/>
        <w:adjustRightInd w:val="0"/>
        <w:spacing w:after="0" w:line="240" w:lineRule="auto"/>
        <w:ind w:left="576" w:right="576"/>
        <w:rPr>
          <w:rFonts w:ascii="Arial" w:hAnsi="Arial" w:cs="Arial"/>
          <w:sz w:val="24"/>
          <w:szCs w:val="24"/>
        </w:rPr>
      </w:pPr>
    </w:p>
    <w:p w:rsidR="00464823" w:rsidRDefault="00464823">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History is replete with the lesson that a country in which the Jews get the upper hand is in danger. Such was the experience of Europe during Jewish-led Communist revolutions in Russia, Hungary, Romania, and Germany after World War I.</w:t>
      </w:r>
    </w:p>
    <w:p w:rsidR="00464823" w:rsidRDefault="00464823">
      <w:pPr>
        <w:widowControl w:val="0"/>
        <w:autoSpaceDE w:val="0"/>
        <w:autoSpaceDN w:val="0"/>
        <w:adjustRightInd w:val="0"/>
        <w:spacing w:after="0" w:line="240" w:lineRule="auto"/>
        <w:ind w:left="576" w:right="576"/>
        <w:rPr>
          <w:rFonts w:ascii="Arial" w:hAnsi="Arial" w:cs="Arial"/>
          <w:sz w:val="18"/>
          <w:szCs w:val="18"/>
        </w:rPr>
      </w:pPr>
    </w:p>
    <w:p w:rsidR="00464823" w:rsidRDefault="00464823">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Christians knew that Communism — often called “Jewish Bolshevism” — would bring awful persecution with the ultimate goal of the annihilation of Christianity.   . . .    It    . . .   showed its true colors by making anti-Semitism a capital crime.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Anyone who is familiar with the ideological roots of National Socialism will understand that in this passage Sobran is echoing the major arguments of Nazi anti-Semitism.    .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took a skeptical line on the Holocaust…”</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“skeptical line on the Holocaust”: What does that mean?    .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---http://sanseverything.wordpress.com/2010/10/03/joseph-sobran-far-worse-than-a-holocaust-skeptic/</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8"/>
          <w:szCs w:val="28"/>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Will the Real Terrorist Please Stand Up, Indeed!</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Col. Lawrence Wilkerson Ret., former Chief of Staff for Colin Powell   -    Apr. 11, 2011</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Several nights ago (6 April), I watched “Will the Real Terrorist Please Stand Up” at the West End Cinema in Washington. Six months ago, Saul Landau, the filmmaker, had given me an earlier rough-cut version on DVD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all in all, the pro-Cuba aspect of the film that stunned me.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it was clear that this pro-Cuba aspect was not conjured by the filmmaker but by history. Perhaps, I told myself, I knew much of this history, intellectually, academically. But I had never seen it so graphically put before me, in such a tight, cinematic package that seemed to leap off the screen almost in synch with the beating of my pulse.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backdrop of the film was the U.S.-Cuba relationship from the 1959 revolution to the present. That relationship was portrayed quite accurately   . . .   The one-sided nature of U.S. policy has been the same from 1823 to the present.    . . .   How badly the U.S.   . . .  treated its island neighbor since the beginning of our republic. So badly, in fact, that the portrayal of it, however evanescently, by a master filmmaker made one want to weep for his country and its policies.</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doubt there was a single person in the audience that night who felt any differently, except perhaps the several Cubans who were present    .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Clearly shown and vividly documented was the fact that the United States sponsors terrorism. In Posada Carriles and Orlando Bosch alone, there are overtones of Osama bin Laden and Aman al-Zawahiri, the nefarious leadership of al-Qa’ida.   .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Whether it is bringing down a Cuban airliner with more than 70 people on board — including the young people on the Cuban fencing team — or murdering a young Italian man in a Havana hotel, these terrorists appear to take joy in what they have done    . . .   A war waged from the territory of the United States — the state of Florida primarily — and against another sovereign country. A war that continues to this day with the United States doing almost nothing to stop it   . . .  and   . . .    from time to time even aiding and abetting the terrorists who are waging it.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Cuban Five: These are the five Cuban intelligence agents who, in the 1990s, were dispatched to Florida to help the government in Havana defend itself better in this undeclared war.   . . .   At the very worst, these five Cubans were “foreign agents operating on U.S. soil”, an offense warranting 18 months in jail under U.S. law.    . . .</w:t>
      </w:r>
    </w:p>
    <w:p w:rsidR="00464823" w:rsidRDefault="00464823">
      <w:pPr>
        <w:widowControl w:val="0"/>
        <w:autoSpaceDE w:val="0"/>
        <w:autoSpaceDN w:val="0"/>
        <w:adjustRightInd w:val="0"/>
        <w:spacing w:after="0" w:line="240" w:lineRule="auto"/>
        <w:rPr>
          <w:rFonts w:ascii="Arial" w:hAnsi="Arial" w:cs="Arial"/>
          <w:sz w:val="12"/>
          <w:szCs w:val="12"/>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---http://wicuba.wordpress.com/2011/04/23/will-the-real-terrorist-please-stand-up-indeed/</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rPr>
      </w:pPr>
    </w:p>
    <w:p w:rsidR="00464823" w:rsidRDefault="00464823">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War is not about Truth, Justice, and the American Way</w:t>
      </w:r>
    </w:p>
    <w:p w:rsidR="00464823" w:rsidRDefault="00464823">
      <w:pPr>
        <w:widowControl w:val="0"/>
        <w:autoSpaceDE w:val="0"/>
        <w:autoSpaceDN w:val="0"/>
        <w:adjustRightInd w:val="0"/>
        <w:spacing w:after="0" w:line="240" w:lineRule="auto"/>
        <w:rPr>
          <w:rFonts w:ascii="Arial" w:hAnsi="Arial" w:cs="Arial"/>
          <w:sz w:val="12"/>
          <w:szCs w:val="12"/>
        </w:rPr>
      </w:pPr>
    </w:p>
    <w:p w:rsidR="00464823" w:rsidRDefault="00464823">
      <w:pPr>
        <w:widowControl w:val="0"/>
        <w:autoSpaceDE w:val="0"/>
        <w:autoSpaceDN w:val="0"/>
        <w:adjustRightInd w:val="0"/>
        <w:spacing w:after="0" w:line="240" w:lineRule="auto"/>
        <w:rPr>
          <w:rFonts w:ascii="Arial" w:hAnsi="Arial" w:cs="Arial"/>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JAY, SENIOR EDITOR, TRNN: Welcome to The Real News Network. I'm Paul Jay in Washington. And we continue our series of interviews with Lawrence Wilkerson.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WILKERSON:    . . .   The Naval War College in Newport, Rhode Island   . . .   a team of professors   . . .   more or less stripped war of its truth, justice, and the American way and gave it its real face   . . .    politics and power. This is all about getting your way over someone else . . .   territory      . . .   resources    . . .    belief, ideology, or whatever. That's what war's really all about. It's not about truth and justice. It never has been, never will be.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WILKERSON:    . . .   I think there's a clear understanding in the American schools that commerce, trade, is a big part of what a soldier is all about. That is to say, there is some aspect of Smedley Butler's I never fought a war that wasn't commercial purposes that every military officer realizes.    . . .     So what do leaders do when they understand this? They conjure up a Saddam Hussein. They conjure up weapons of mass destruction. They conjure up connections between al-Qaeda and Baghdad. They conjure these things so that the unwashed American public will feel passionate and ideological    . . .    You see this is not at all about truth, justice, and the American way, it's all about achieving the power purposes of a certain coterie of leaders who happen to be, by ballot box, occupying Washington for the time being.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Bio</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Lawrence Wilkerson is a retired United States Army soldier and former chief of staff to United States Secretary of State Colin Powell. Wilkerson is an adjunct professor at the College of William &amp; Mary where he teaches courses on US national security. He also instructs a senior seminar in the Honors Department at the George Washington University entitled "National Security Decision Making."</w:t>
      </w:r>
    </w:p>
    <w:p w:rsidR="00464823" w:rsidRDefault="00464823">
      <w:pPr>
        <w:widowControl w:val="0"/>
        <w:autoSpaceDE w:val="0"/>
        <w:autoSpaceDN w:val="0"/>
        <w:adjustRightInd w:val="0"/>
        <w:spacing w:after="0" w:line="240" w:lineRule="auto"/>
        <w:rPr>
          <w:rFonts w:ascii="Times New Roman" w:hAnsi="Times New Roman" w:cs="Times New Roman"/>
          <w:sz w:val="12"/>
          <w:szCs w:val="12"/>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---http://therealnews.com/t2/index.php?option=com_content&amp;task=view&amp;id=31&amp;Itemid=74&amp;jumival=6871</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Endogenous growth theory</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Wikipedia</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economics, endogenous growth theory or new growth theory was developed in the 1980s as a response to criticism of the neo-classical growth model.</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neo-classical growth models, the long-run rate of growth is exogenously determined by either assuming a savings rate or a rate of technical progress. However, the savings rate and rate of technological progress remain unexplained.</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Endogenous growth theory tries to overcome this shortcoming by building macroeconomic models out of microeconomic foundations. Households are assumed to maximize utility subject to budget constraints while firms maximize profits. Crucial importance is usually given to the production of new technologies and human capital. The engine for growth can be as simple as a constant return to scale production function (the AK model) or more complicated set ups with spillover effects, increasing numbers of goods, increasing qualities, etc.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Often endogenous growth theory assumes constant marginal product of capital at the aggregate level, or at least that the limit of the marginal product of capital does not tend towards zero. This does not imply that larger firms will be more productive than small ones, because at the firm level the marginal product of capital is still diminishing. Therefore, it is possible to construct endogenous growth models with perfect competition. However, in many endogenous growth models the assumption of perfect competition is relaxed, and some degree of monopoly power is thought to exist. Generally monopoly power in these models comes from the holding of patents. These are models with two sectors, producers of final output and an R&amp;D sector. The R&amp;D sector develops ideas that they are granted a monopoly over. R&amp;D firms are assumed to be able to make monopoly profits selling ideas to production firms, but the free entry condition means that these profits are dissipated on R&amp;D spending.</w:t>
      </w:r>
    </w:p>
    <w:p w:rsidR="00464823" w:rsidRDefault="00464823">
      <w:pPr>
        <w:widowControl w:val="0"/>
        <w:autoSpaceDE w:val="0"/>
        <w:autoSpaceDN w:val="0"/>
        <w:adjustRightInd w:val="0"/>
        <w:spacing w:after="0" w:line="240" w:lineRule="auto"/>
        <w:rPr>
          <w:rFonts w:ascii="Arial" w:hAnsi="Arial" w:cs="Arial"/>
          <w:sz w:val="12"/>
          <w:szCs w:val="12"/>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http://en.wikipedia.org/wiki/Endogenous_growth_theory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Time Preference and Cyclical Endogenous Growth in an AK Growth Model</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Orlando Gomes</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Escola Superior de Comunicação Social, IPL; UNIDE/ISCTE – ERC</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Abstract:</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paper develops an AK endogenous growth model with an endogenously determined rate of intertemporal preference. Following some of the related literature, we assume that the degree of impatience that is revealed by the representative agent, regarding future consumption, depends on income. To be precise, the proposed framework establishes a link between the output gap and the discount rate attached to the sequence of future utility functions. We analyze both local and global dynamics. From a local analysis point of view, a variety of stability results is possible to obtain, depending on parameter values. The study of global dynamics allows finding endogenous business cycles in the circumstance in which the representative agent overlooks one essential requirement for optimality. On a second stage, the model is extended to include the role of leisure and, in this case, endogenous fluctuations are compatible with full rationality.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File URL: http://notas-economicas.fe.uc.pt/texts/ne028n0194.pdf</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Article provided by Faculdade de Economia, Universidade de Coimbra in its journal Notas Económicas.</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Vol: 2008   Issue: 28 Dec   Pg: 32-55</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http://ideas.repec.org/a/gmf/journl/y2008i28p32-55.html</w:t>
      </w: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WILEY: KNOWLEDGE FOR GENERATIONS</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Endogenous Growth</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Torben M. Andersen (Editor), Karl-Ove Moene (Editor) </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ISBN: 978-0-631-18975-6; Paperback 252 pages; June 1994, Wiley-Blackwell; US $49.95 </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Growth theory is currently changing directions - the orthodox neoclassical approach is being modified and extended by models of endogenous growth. Along with fresh contributions from the field, this volume provides a survey of the topic.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Endogenous Growth covers aspects such as growth effects of different trade, tax and public investment policies, as well as lobbying activities. Moreover, the relationships between growth, talent and income distribution are explored from different perspectives. The emphasis is on the effects of egalitarianism both within and across generation.</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http://www.wiley.com/remtitle.cgi?isbn=0631189750</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National Security Stategy: A Flawed guide to the Future</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Fred Smith, Col. Michael B. Leahy, Jr. USAF</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Seminar 8  -  Col.William Sullivan, Primary Facurly Advisor   -    OMB No. 0704-0188</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Industrial College of the Armed Forces - National Defense University - Fort McNair</w:t>
      </w:r>
    </w:p>
    <w:p w:rsidR="00464823" w:rsidRDefault="004648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Washington, D.C. 20319-5062</w:t>
      </w:r>
    </w:p>
    <w:p w:rsidR="00464823" w:rsidRDefault="00464823">
      <w:pPr>
        <w:widowControl w:val="0"/>
        <w:autoSpaceDE w:val="0"/>
        <w:autoSpaceDN w:val="0"/>
        <w:adjustRightInd w:val="0"/>
        <w:spacing w:after="0" w:line="240" w:lineRule="auto"/>
        <w:rPr>
          <w:rFonts w:ascii="Arial" w:hAnsi="Arial" w:cs="Arial"/>
          <w:sz w:val="12"/>
          <w:szCs w:val="12"/>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Goldwater-Nichols Defense Department Reorganization Act of 1986 requires the executive branch to periodically provide written documentation of the United States National Security Strategy (NSS). The George W. Bush administration released its first NSS in September 2002.    . . .   An arrogant short-term military focused document that fails to provide a comprehensive strategic vision for applying all the elements of national power to protect and enhance our enduring national interests.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document's overview of America's international strategy defines our goals as: political and economic freedom, peaceful relations with other states, and respect for human dignity.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those are certainly noble endeavors, they are not directly aligned with our national interests.   . . .   Economic freedom doesn't automatically translate into promoting economic prosperity. The placement of human dignity as one of the goals is also a serious mistake and conveys the wrong message to the rest of the world.   . . .   It should not be one of our primary NSS goals.     . . .   It is not a universal belief     . . .  no amount of American arm-twisting is</w:t>
      </w: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going to change that cruel fact.    . . .</w:t>
      </w:r>
      <w:r>
        <w:rPr>
          <w:rFonts w:ascii="Arial" w:hAnsi="Arial" w:cs="Arial"/>
          <w:sz w:val="16"/>
          <w:szCs w:val="16"/>
        </w:rPr>
        <w:t xml:space="preserve">   </w:t>
      </w:r>
      <w:r>
        <w:rPr>
          <w:rFonts w:ascii="Arial" w:hAnsi="Arial" w:cs="Arial"/>
          <w:sz w:val="20"/>
          <w:szCs w:val="20"/>
        </w:rPr>
        <w:t>Tactics, which link trade and other assistance to human rights, are misguided and counterproductive.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 prudent human rights strategy addresses the root cause - poor economic conditions    . . .     Realpolitk forces us to accept violations that, if confronted forcefully, derail more vital national interests.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NSS objective of pushing America's unique brand of democracy onto the rest of the world is arrogant and counterproductive.   . . .   It is the height- of arrogance to state there is</w:t>
      </w: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 single sustainable model for national success: freedom, democracy, and free enterprise".</w:t>
      </w:r>
      <w:r>
        <w:rPr>
          <w:rFonts w:ascii="Arial" w:hAnsi="Arial" w:cs="Arial"/>
          <w:sz w:val="12"/>
          <w:szCs w:val="12"/>
        </w:rPr>
        <w:t xml:space="preserve"> </w:t>
      </w:r>
      <w:r>
        <w:rPr>
          <w:rFonts w:ascii="Arial" w:hAnsi="Arial" w:cs="Arial"/>
          <w:position w:val="5"/>
          <w:sz w:val="16"/>
          <w:szCs w:val="16"/>
          <w:vertAlign w:val="superscript"/>
        </w:rPr>
        <w:t>5</w:t>
      </w:r>
      <w:r>
        <w:rPr>
          <w:rFonts w:ascii="Arial" w:hAnsi="Arial" w:cs="Arial"/>
          <w:sz w:val="20"/>
          <w:szCs w:val="20"/>
        </w:rPr>
        <w:t xml:space="preserve">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Soft authoritarianism with select democratic features    . . .  has also produced great prosperity and respect for free trade. In many parts of the world explicitly linking our brand of democracy to economic progress only serves to derail progress toward our primary international objective of free markets and free trade.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If democracy truly is, a necessary and sufficient condition for economic prosperity, then it will happen naturally    . . .   We must advocate self-determination, not American democracy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Instead of being Wilsonain we must embrace the realism that our security and world, stability are enabled by economic growth. Global poverty is the real enemy.    . . .  Properly regulated market forces are the emerging world's police force.     . . .   Our ultimate strategic goal should be full spectrum economic dominance.    . . .  To develop an economy you may need to harm the environment. The trick is prioritizing and then mitigating the aspects, of development that produce lasting damage.    .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objective of doubling the size of the world's poorest economies within a decade is clearly in our national interests. Removing the linkages to human rights and democracy in Section VII leaves a solid set of strategies toward that goal.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must    . . .   aggressively work with the Russians to exploit their known reserves.     . . .   A Russian pipeline to the Pacific would change the whole strategic equation.    . . .   The 2002 edition of the National Security Strategy is a flawed document.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position w:val="5"/>
          <w:sz w:val="16"/>
          <w:szCs w:val="16"/>
          <w:vertAlign w:val="superscript"/>
        </w:rPr>
        <w:t>5</w:t>
      </w:r>
      <w:r>
        <w:rPr>
          <w:rFonts w:ascii="Arial" w:hAnsi="Arial" w:cs="Arial"/>
          <w:sz w:val="20"/>
          <w:szCs w:val="20"/>
        </w:rPr>
        <w:t xml:space="preserve"> George Bush, Introduction letter to the National Security Strategy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http://www.dtic.mil/cgi-bin/GetTRDoc?AD=ada422070&amp;Location=U2&amp;doc=GetTRDoc.pdf</w:t>
      </w: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Responsibility and neo-liberalism</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Grahame Thompson</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31 07 2007   . . .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raise some general issues associated with the idea of responsibility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all responsible.</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indeed what might be called a coherent, large-scale "responsibilisation" process underway, led by governments and public authorities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distinguishing element is that it does not require citizens necessarily to comply with rules or regulations, nor to obey an authority.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it involves an un-coerced application of certain values rooted in the motivation for action. It seems to be fundamentally premised on the construction of a moral agency that accepts the consequences of its actions in a self-reflexive manner.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law, for instance,  becomes a guiding principle rather than a definite command.</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aftermath of the second world war citizens in western Europe and north America     . . .     all became - in one way or another, and perhaps unknowingly - "social-democratic subjects", members of the successor generation may now all have become similarly constituted as "neo-liberal subjects"    .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an emphasis on establishing and organising the "conduct of conduct": this involves the replacement of hierarchical administrative means of direct governance with a system of benchmarks, standards, targets, and norms that is set for agents and that can be monitored and audited.</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part this latter sense of governmental neo-liberalism is what Michel Foucault termed "advanced liberalism" (see Andrew Barry et al, eds., Foucault and Political Reason, Routledge, 1996).</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would suggest, however, that this has now merged with or fused into neo-liberalism proper - and that they have become more or less indistinguishable aspects of the same reality.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 clear connection between this state-led neo-liberal project and the movement in the social-economic sphere associated with "corporate social responsibility"(CSR). This movement "responsibilises" autonomous agents (companies), who increasingly organise their own self-governance, setting themselves targets and standards that they themselves police.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corporate sector has forcefully argued for less state intervention, more freedom from regulation, and the removal of legalistic barriers to its activities, it has singularly failed to criticise the major legal bastion which allows it to escape its responsibilities: limited liability.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then, is an opportunity to use the neo-liberal programme    . . .   to reform the legal status of limited liability.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http://www.opendemocracy.net/article/responsibility_and_neo_liberalism</w:t>
      </w: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Can elections be harmful to democracy?</w:t>
      </w: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International Centre for Policy Studies   -  Oct. 3, 2009</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 23 September, young leaders of Ukraine met at the International Centre for Policy Studies, at a discussion panel held jointly with the British Council, to hear the Right Honorable Stephen Byers speak about the opportunities and pitfalls of the democratic process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Byers, a former British Labor Minister and current Chairman of the Board of the Yalta European Strategy   . . .  considered the question, “Can elections be harmful to democracy?”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short term, Mr. Byers argued, elections can sometimes do more harm than good to the democratic process.   . . .  He stated, “Democracy is about more than free elections, and Ukrainians, both ordinary citizens and political leaders, are learning this the hard way.”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centered on personalities    . . .    elections fail to stimulate the kind of debate necessary    . . .    a vote can needlessly divide people and distract from crucial decisions.</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Byers expressed regret that this appeared to be the case in Ukraine now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Byers argued that Russia’s “managed democracy” might not be all that different from British democracy, where parliamentary candidates are chosen by a small number of party members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http://www.icps.kiev.ua/eng/key_issues/democratization/2062.html</w:t>
      </w: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Matthew Taylor’s blog:   The pro-social council – what is to be done?</w:t>
      </w:r>
    </w:p>
    <w:p w:rsidR="00464823" w:rsidRDefault="00464823">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Matthew Taylor  -  RSA  -  April 24 2009</w:t>
      </w:r>
    </w:p>
    <w:p w:rsidR="00464823" w:rsidRDefault="00464823">
      <w:pPr>
        <w:widowControl w:val="0"/>
        <w:autoSpaceDE w:val="0"/>
        <w:autoSpaceDN w:val="0"/>
        <w:adjustRightInd w:val="0"/>
        <w:spacing w:after="0" w:line="240" w:lineRule="auto"/>
        <w:rPr>
          <w:rFonts w:ascii="Arial" w:hAnsi="Arial" w:cs="Arial"/>
          <w:sz w:val="14"/>
          <w:szCs w:val="14"/>
        </w:rPr>
      </w:pPr>
    </w:p>
    <w:p w:rsidR="00464823" w:rsidRDefault="00464823">
      <w:pPr>
        <w:widowControl w:val="0"/>
        <w:autoSpaceDE w:val="0"/>
        <w:autoSpaceDN w:val="0"/>
        <w:adjustRightInd w:val="0"/>
        <w:spacing w:after="0" w:line="240" w:lineRule="auto"/>
        <w:rPr>
          <w:rFonts w:ascii="Arial" w:hAnsi="Arial" w:cs="Arial"/>
          <w:sz w:val="14"/>
          <w:szCs w:val="14"/>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To the Association of County Council Chief Executives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 . .  faced what Professor Niall Ferguson described as a ‘trilemma’   . . . two out of three outcomes but not all three   . . .  open market globalisation, social stability, and a small state.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future looks depressing and even frightening unless we can close    . . .   the social aspiration gap.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Spend less on opinion polling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When it comes to the complex    . . .   task of community    . . .   building, central Government intervention is much more likely to be damaging than constructive.</w:t>
      </w:r>
    </w:p>
    <w:p w:rsidR="00464823" w:rsidRDefault="00464823">
      <w:pPr>
        <w:widowControl w:val="0"/>
        <w:autoSpaceDE w:val="0"/>
        <w:autoSpaceDN w:val="0"/>
        <w:adjustRightInd w:val="0"/>
        <w:spacing w:after="0" w:line="240" w:lineRule="auto"/>
        <w:rPr>
          <w:rFonts w:ascii="Times New Roman" w:hAnsi="Times New Roman" w:cs="Times New Roman"/>
          <w:sz w:val="8"/>
          <w:szCs w:val="8"/>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http://www.matthewtaylorsblog.com/thersa/the-pro-social-council-what-is-to-be-done</w:t>
      </w: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Voting – an overrated activity</w:t>
      </w:r>
    </w:p>
    <w:p w:rsidR="00464823" w:rsidRDefault="00464823">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Matthew Taylor  -  RSA  - June 4, 2009</w:t>
      </w:r>
    </w:p>
    <w:p w:rsidR="00464823" w:rsidRDefault="00464823">
      <w:pPr>
        <w:widowControl w:val="0"/>
        <w:autoSpaceDE w:val="0"/>
        <w:autoSpaceDN w:val="0"/>
        <w:adjustRightInd w:val="0"/>
        <w:spacing w:after="0" w:line="240" w:lineRule="auto"/>
        <w:rPr>
          <w:rFonts w:ascii="Arial" w:hAnsi="Arial" w:cs="Arial"/>
          <w:sz w:val="14"/>
          <w:szCs w:val="14"/>
        </w:rPr>
      </w:pPr>
    </w:p>
    <w:p w:rsidR="00464823" w:rsidRDefault="00464823">
      <w:pPr>
        <w:widowControl w:val="0"/>
        <w:autoSpaceDE w:val="0"/>
        <w:autoSpaceDN w:val="0"/>
        <w:adjustRightInd w:val="0"/>
        <w:spacing w:after="0" w:line="240" w:lineRule="auto"/>
        <w:rPr>
          <w:rFonts w:ascii="Arial" w:hAnsi="Arial" w:cs="Arial"/>
          <w:sz w:val="14"/>
          <w:szCs w:val="14"/>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Representative Democracy: There are two big problems. Firstly, voting in elections is no more than an opportunity every few years to get rid of a party we feel has failed in government and replace it with one we dislike slightly less. When we vote we are notionally signing up to every policy in our chosen party’s manifesto.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Secondly,   . . .   with a diverse   . . .   often incoherent local public opinion who and what are representatives representing? I have asked many MPs this question and rarely, if ever have I heard a coherent answer.</w:t>
      </w:r>
    </w:p>
    <w:p w:rsidR="00464823" w:rsidRDefault="00464823">
      <w:pPr>
        <w:widowControl w:val="0"/>
        <w:autoSpaceDE w:val="0"/>
        <w:autoSpaceDN w:val="0"/>
        <w:adjustRightInd w:val="0"/>
        <w:spacing w:after="0" w:line="240" w:lineRule="auto"/>
        <w:rPr>
          <w:rFonts w:ascii="Times New Roman" w:hAnsi="Times New Roman" w:cs="Times New Roman"/>
          <w:sz w:val="8"/>
          <w:szCs w:val="8"/>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http://www.matthewtaylorsblog.com/politics/voting-an-overrated-activity</w:t>
      </w: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Zizek, Hayek – and Cowell</w:t>
      </w:r>
    </w:p>
    <w:p w:rsidR="00464823" w:rsidRDefault="00464823">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Matthew Taylor  -  RSA  - Nov. 25, 2009</w:t>
      </w:r>
    </w:p>
    <w:p w:rsidR="00464823" w:rsidRDefault="00464823">
      <w:pPr>
        <w:widowControl w:val="0"/>
        <w:autoSpaceDE w:val="0"/>
        <w:autoSpaceDN w:val="0"/>
        <w:adjustRightInd w:val="0"/>
        <w:spacing w:after="0" w:line="240" w:lineRule="auto"/>
        <w:rPr>
          <w:rFonts w:ascii="Arial" w:hAnsi="Arial" w:cs="Arial"/>
          <w:sz w:val="14"/>
          <w:szCs w:val="14"/>
        </w:rPr>
      </w:pPr>
    </w:p>
    <w:p w:rsidR="00464823" w:rsidRDefault="00464823">
      <w:pPr>
        <w:widowControl w:val="0"/>
        <w:autoSpaceDE w:val="0"/>
        <w:autoSpaceDN w:val="0"/>
        <w:adjustRightInd w:val="0"/>
        <w:spacing w:after="0" w:line="240" w:lineRule="auto"/>
        <w:rPr>
          <w:rFonts w:ascii="Arial" w:hAnsi="Arial" w:cs="Arial"/>
          <w:sz w:val="14"/>
          <w:szCs w:val="14"/>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Zizek: is   . . .   one of the world’s foremost philosophers. The great man’s lecture was dense, edgy and erudite. Like a good wine its after taste is more affecting than the first impression.</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One passage came back to me   . . .  Zizek was discussing the idea that a viable and orderly social democracy could be based on a deal whereby we give total power and status to a super rich knowledge elite in exchange for all citizens – regardless of merit or effort – being guaranteed a basic income.   . . .   He said it took no account of envy.   . . .   For the masses to accept that those at the top deserve their success means the majority have to accept not only that they are poorer but [that] they are less virtuous.</w:t>
      </w:r>
    </w:p>
    <w:p w:rsidR="00464823" w:rsidRDefault="00464823">
      <w:pPr>
        <w:widowControl w:val="0"/>
        <w:autoSpaceDE w:val="0"/>
        <w:autoSpaceDN w:val="0"/>
        <w:adjustRightInd w:val="0"/>
        <w:spacing w:after="0" w:line="240" w:lineRule="auto"/>
        <w:rPr>
          <w:rFonts w:ascii="Times New Roman" w:hAnsi="Times New Roman" w:cs="Times New Roman"/>
          <w:sz w:val="12"/>
          <w:szCs w:val="12"/>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http://www.matthewtaylorsblog.com/thersa/zizek-hayek-and-cowell</w:t>
      </w: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Demise of Democracy</w:t>
      </w:r>
      <w:r>
        <w:rPr>
          <w:rFonts w:ascii="Arial" w:hAnsi="Arial" w:cs="Arial"/>
          <w:sz w:val="20"/>
          <w:szCs w:val="20"/>
        </w:rPr>
        <w:t xml:space="preserve">: </w:t>
      </w:r>
      <w:r>
        <w:rPr>
          <w:rFonts w:ascii="Times New Roman" w:hAnsi="Times New Roman" w:cs="Times New Roman"/>
          <w:sz w:val="28"/>
          <w:szCs w:val="28"/>
        </w:rPr>
        <w:t>Was September 11 the first blow in a war that will bring down the Western democratic system?</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Ron Fraser   -  The Trumpet   -   Nov. 2002</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Up to September 11 last year, the world had a picture, played over and over in their minds, that portrayed the triumph of democracy over socialism.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Samuel Huntington, of Harvard University, suggests in his book The Clash of Civilizations that, far from mankind having reached its limit in the search for the best means to govern humankind’s affairs, we are faced with a massive competition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Just what is this “best of the worst” system of government we call democracy? By classic dictionary definition, democracy is “government by the people in which the supreme power is vested in the people and exercised directly by them or by their elected agents under a free electoral system.” Abraham Lincoln simplified it in his famous phrase declaring that democracy is a government “of the people, by the people, and for the people.”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Democracy and modernism are closely intertwined, each providing a driving force for the other. In the process, the administration of government in Britain and America, and in Britain’s dominions, progressively assumed “that the public good rather than that of the governors should be the aim of policy …” (J.M. Roberts, The Triumph of the West).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Western culture, which had developed to its peak prior to World War I, began its descent into the shoddy mess it is today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combined effects of the warped thinking of modernists such as Freud, Darwin, Hegel and Nietzsche   . . .     consummated in the 1960s and ’70s to rock the very system of virtues upon which Western democracy had been founded. The result has been the production of a generation   . . .   that has the minds of immature children (Isa. 3:4).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Of all post-war governments, it was the Clinton administration that brought to bear, on both domestic and international politics, some of the worst aspects of the moral relativism. This administration was overpopulated with children of the ’60s and ’70s who had their minds “closed” to reality (in the terms of professor Alan Bloom in his masterful work The Closing of the American Mind) via the brainwashing received from liberal-socialist professors at their universities and colleges during those two sad decades.</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Moral sickness in the White House skewed the perspective of the governing elite away from the old moral absolutes and tore at the fabric of true democracy that had underpinned America in its greatest era of growth and development. The result has been a warping of the national perception of just what it is that American democracy stands for.</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 Prof. Wesley McDonald of Elizabethtown College, Penn., comments, “The American political culture has changed so dramatically during the Clinton era that it is now reasonable to conclude that the social, moral and cultural basis necessary for the prevalence of genuinely conservative ideas no longer exists” (Salisbury Review, Winter 2000).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simply cannot be a genuine democracy without a strong representation of the genuine conservative ideas upon which it was founded.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Eric Bjornlund, former director of Asia programs at the National Democratic Institute for International Affairs, explained, “From the time of President Woodrow Wilson’s crusade to ‘make the world safe for democracy’ to the era of the Cold War, Americans of virtually all political persuasions shared an ideological commitment to advancing the democratic cause in the world. … Washington now devotes some $700 million annually to democracy promotion” (Wilson Quarterly, Summer 2001).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That this process has coincided with the massive export of American-produced television programs, music and other entertainment is more than coincidental. Human beings are generally not moved by logic or reason. It is imagination, emotion, feelings that motivate the masses of mankind. The appeal of “the good life”   .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British journalist Katie Grant recently visited the autocratically ruled country of Turkmenistan. Her summation? “Turkmenistan may not be a free country, but there is no trash culture, no graffiti, and the people are happy.” This country has no tradition of democracy. Yet, as Grant observes, “The rule of an autocrat does have an up side. We extol democracy, which allows societies to operate on the level of the lowest common denominator, as the best way to function. But when you compare our filthy streets and yob culture with the dignity of the Turkmen, democracy seems a shoddy affair.    . . .  ” (Spectator, June 29).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Katie Grant’s message to those who seek to impose, with such zeal, the West’s form of liberal democracy on foreign countries is bitingly accurate:   “. . .   When we export democracy, we export Big Brother. When we insist on the supremacy of individual rights, we export family breakdown and the culture of whinge and litigation” (ibid.).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idea of Western-style democracy contained, from its beginnings, the seeds of its own destruction. By stressing that human beings possessed certain “inalienable rights,” the Founding Fathers opened the way for a far-less-democratic liberal-socialist generation to elevate the concept of human rights above the obligation of human responsibility.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managing editor of The New Criterion, Roger Kimball, puts it this way:   “  . . .  Some rights may be inalienable, but none is without price” (National Interest, Spring 2002).</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Kimball    . . . :  “Radical egalitarianism — egalitarianism uncorrected by the aspirations of excellence — would have us pretend that there are no important distinctions among people; where the pretense is impossible, it would have us    . . .  at least to paper over, the differences. The results are a vast increase in self-deception, cultural degradation and bureaucratic meddlesomeness” (ibid.).</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standards of excellence which were the aspirations of previous generations — in times when the British benignly ruled the greatest empire and the U.S. became the mightiest single nation on Earth — are buried in a mire of mediocrity.    . . .  ” (ibid.).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insidious trend saps the nation’s political will.    . . .  The U.S., rather than show the courage for immediate retaliation against a crazed, petty despot    . . .  is spending months in fruitless debate seeking the approbation of the world, including its enemies, before it deigns to strike with any force to wipe such a pestilential threat from off the face of the map!    . . .</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democracy has had its day.</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civilization is in crisis and decline. It has been so since the First World War shattered the hope that Western culture was on the road to continuous progress toward a more rational and enlightened age. The Second World War shook Western democracy to its foundations. The cradle of democracy, the continent of Europe, came to realize at that point that the savagery of the “civilized” man had far outdone that of the barbarians who had preceded him.</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 reflection, there appears to be no other forms of government left for man to try.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Mark Malvasi sees little about which to be optimistic for the survival of Western democracy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horrifying events of the past century, its “wars and rumors of wars,” were but the fulfillment of Christ’s prophecies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Yes! It’s time to look up! Look up in the sure hope of the return to this Earth of your Savior to quell all forms of government — including mankind’s best attempts at his doomed democracy — and impose the perfect form of God’s government upon all mankind   . . .</w:t>
      </w:r>
    </w:p>
    <w:p w:rsidR="00464823" w:rsidRDefault="00464823">
      <w:pPr>
        <w:widowControl w:val="0"/>
        <w:autoSpaceDE w:val="0"/>
        <w:autoSpaceDN w:val="0"/>
        <w:adjustRightInd w:val="0"/>
        <w:spacing w:after="0" w:line="240" w:lineRule="auto"/>
        <w:rPr>
          <w:rFonts w:ascii="Arial" w:hAnsi="Arial" w:cs="Arial"/>
          <w:sz w:val="12"/>
          <w:szCs w:val="12"/>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http://www.thetrumpet.com/index.php?q=682.0.47.0</w:t>
      </w: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do I do it to myself?</w:t>
      </w:r>
    </w:p>
    <w:p w:rsidR="00464823" w:rsidRDefault="004648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Matthew Taylor   -  Oct. 13, 2009  -  Chief Executive of the RSA  -  Formerly Chief Adviser on Political Strategy to the Prime Minister</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t>. . .   Modern representative democracy, as it is practised in England, is based on a false metaphor – that of consumerism.  We think the task of democracy is to give us what we want, the customer is always right.  In contrast, I want to argue that representative democracy is actually much more about trying to agree what we can’t have and coming to accept the reasons why.     . . .</w:t>
      </w:r>
    </w:p>
    <w:p w:rsidR="00464823" w:rsidRDefault="00464823">
      <w:pPr>
        <w:widowControl w:val="0"/>
        <w:autoSpaceDE w:val="0"/>
        <w:autoSpaceDN w:val="0"/>
        <w:adjustRightInd w:val="0"/>
        <w:spacing w:after="0" w:line="240" w:lineRule="auto"/>
        <w:rPr>
          <w:rFonts w:ascii="Arial" w:hAnsi="Arial" w:cs="Arial"/>
          <w:sz w:val="24"/>
          <w:szCs w:val="24"/>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Radically devolve power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Use proper citizens’ juries to advise on    . . .   major policies    . . .</w:t>
      </w:r>
    </w:p>
    <w:p w:rsidR="00464823" w:rsidRDefault="00464823">
      <w:pPr>
        <w:widowControl w:val="0"/>
        <w:autoSpaceDE w:val="0"/>
        <w:autoSpaceDN w:val="0"/>
        <w:adjustRightInd w:val="0"/>
        <w:spacing w:after="0" w:line="240" w:lineRule="auto"/>
        <w:rPr>
          <w:rFonts w:ascii="Arial" w:hAnsi="Arial" w:cs="Arial"/>
          <w:sz w:val="16"/>
          <w:szCs w:val="16"/>
        </w:rPr>
      </w:pPr>
    </w:p>
    <w:p w:rsidR="00464823" w:rsidRDefault="00464823">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Require the publication in full of policy advice to ministers    . . .</w:t>
      </w:r>
    </w:p>
    <w:p w:rsidR="00464823" w:rsidRDefault="00464823">
      <w:pPr>
        <w:widowControl w:val="0"/>
        <w:autoSpaceDE w:val="0"/>
        <w:autoSpaceDN w:val="0"/>
        <w:adjustRightInd w:val="0"/>
        <w:spacing w:after="0" w:line="240" w:lineRule="auto"/>
        <w:rPr>
          <w:rFonts w:ascii="Times New Roman" w:hAnsi="Times New Roman" w:cs="Times New Roman"/>
          <w:sz w:val="10"/>
          <w:szCs w:val="10"/>
        </w:rPr>
      </w:pPr>
    </w:p>
    <w:p w:rsidR="00464823" w:rsidRDefault="0046482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http://www.matthewtaylorsblog.com/tag/british-council</w:t>
      </w: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Arial" w:hAnsi="Arial" w:cs="Arial"/>
          <w:sz w:val="20"/>
          <w:szCs w:val="20"/>
        </w:rPr>
      </w:pPr>
    </w:p>
    <w:p w:rsidR="00464823" w:rsidRDefault="0046482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64823" w:rsidRDefault="00464823">
      <w:pPr>
        <w:widowControl w:val="0"/>
        <w:autoSpaceDE w:val="0"/>
        <w:autoSpaceDN w:val="0"/>
        <w:adjustRightInd w:val="0"/>
        <w:spacing w:after="0" w:line="240" w:lineRule="auto"/>
        <w:rPr>
          <w:rFonts w:ascii="Times New Roman" w:hAnsi="Times New Roman" w:cs="Times New Roman"/>
          <w:sz w:val="34"/>
          <w:szCs w:val="34"/>
        </w:rPr>
      </w:pPr>
    </w:p>
    <w:p w:rsidR="00464823" w:rsidRDefault="004648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64823" w:rsidSect="0046482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823" w:rsidRDefault="00464823" w:rsidP="00464823">
      <w:pPr>
        <w:spacing w:after="0" w:line="240" w:lineRule="auto"/>
      </w:pPr>
      <w:r>
        <w:separator/>
      </w:r>
    </w:p>
  </w:endnote>
  <w:endnote w:type="continuationSeparator" w:id="0">
    <w:p w:rsidR="00464823" w:rsidRDefault="00464823" w:rsidP="004648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823" w:rsidRDefault="0046482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823" w:rsidRDefault="00464823" w:rsidP="00464823">
      <w:pPr>
        <w:spacing w:after="0" w:line="240" w:lineRule="auto"/>
      </w:pPr>
      <w:r>
        <w:separator/>
      </w:r>
    </w:p>
  </w:footnote>
  <w:footnote w:type="continuationSeparator" w:id="0">
    <w:p w:rsidR="00464823" w:rsidRDefault="00464823" w:rsidP="00464823">
      <w:pPr>
        <w:spacing w:after="0" w:line="240" w:lineRule="auto"/>
      </w:pPr>
      <w:r>
        <w:continuationSeparator/>
      </w:r>
    </w:p>
  </w:footnote>
  <w:footnote w:id="1">
    <w:p w:rsidR="00464823" w:rsidRDefault="00464823">
      <w:pPr>
        <w:widowControl w:val="0"/>
        <w:autoSpaceDE w:val="0"/>
        <w:autoSpaceDN w:val="0"/>
        <w:adjustRightInd w:val="0"/>
        <w:spacing w:before="150" w:after="0" w:line="240" w:lineRule="auto"/>
        <w:ind w:left="720" w:right="720"/>
        <w:rPr>
          <w:rFonts w:ascii="Arial" w:hAnsi="Arial" w:cs="Arial"/>
          <w:sz w:val="20"/>
          <w:szCs w:val="20"/>
        </w:rPr>
      </w:pPr>
      <w:r w:rsidRPr="003C5E9A">
        <w:rPr>
          <w:rStyle w:val="FootnoteReference"/>
        </w:rPr>
        <w:footnoteRef/>
      </w:r>
      <w:r>
        <w:rPr>
          <w:rFonts w:ascii="Arial" w:hAnsi="Arial" w:cs="Arial"/>
          <w:sz w:val="20"/>
          <w:szCs w:val="20"/>
        </w:rPr>
        <w:t xml:space="preserve"> "Natural Law,"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 w:id="2">
    <w:p w:rsidR="00464823" w:rsidRDefault="00464823">
      <w:pPr>
        <w:widowControl w:val="0"/>
        <w:autoSpaceDE w:val="0"/>
        <w:autoSpaceDN w:val="0"/>
        <w:adjustRightInd w:val="0"/>
        <w:spacing w:before="150" w:after="0" w:line="240" w:lineRule="auto"/>
        <w:ind w:left="720" w:right="720"/>
        <w:rPr>
          <w:rFonts w:ascii="Arial" w:hAnsi="Arial" w:cs="Arial"/>
          <w:sz w:val="20"/>
          <w:szCs w:val="20"/>
        </w:rPr>
      </w:pPr>
      <w:r w:rsidRPr="003C5E9A">
        <w:rPr>
          <w:rStyle w:val="FootnoteReference"/>
        </w:rPr>
        <w:footnoteRef/>
      </w:r>
      <w:r>
        <w:rPr>
          <w:rFonts w:ascii="Arial" w:hAnsi="Arial" w:cs="Arial"/>
          <w:sz w:val="20"/>
          <w:szCs w:val="20"/>
        </w:rPr>
        <w:t xml:space="preserve"> "Ethics,"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 w:id="3">
    <w:p w:rsidR="00464823" w:rsidRDefault="00464823">
      <w:pPr>
        <w:widowControl w:val="0"/>
        <w:autoSpaceDE w:val="0"/>
        <w:autoSpaceDN w:val="0"/>
        <w:adjustRightInd w:val="0"/>
        <w:spacing w:before="150" w:after="0" w:line="240" w:lineRule="auto"/>
        <w:ind w:left="720" w:right="720"/>
        <w:rPr>
          <w:rFonts w:ascii="Arial" w:hAnsi="Arial" w:cs="Arial"/>
          <w:sz w:val="20"/>
          <w:szCs w:val="20"/>
        </w:rPr>
      </w:pPr>
      <w:r w:rsidRPr="003C5E9A">
        <w:rPr>
          <w:rStyle w:val="FootnoteReference"/>
        </w:rPr>
        <w:footnoteRef/>
      </w:r>
      <w:r>
        <w:rPr>
          <w:rFonts w:ascii="Arial" w:hAnsi="Arial" w:cs="Arial"/>
          <w:sz w:val="20"/>
          <w:szCs w:val="20"/>
        </w:rPr>
        <w:t xml:space="preserve"> "Spinoza, Baruch,"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 w:id="4">
    <w:p w:rsidR="00464823" w:rsidRDefault="00464823">
      <w:pPr>
        <w:widowControl w:val="0"/>
        <w:autoSpaceDE w:val="0"/>
        <w:autoSpaceDN w:val="0"/>
        <w:adjustRightInd w:val="0"/>
        <w:spacing w:after="0" w:line="240" w:lineRule="auto"/>
        <w:ind w:left="1440"/>
        <w:rPr>
          <w:rFonts w:ascii="Times New Roman" w:hAnsi="Times New Roman" w:cs="Times New Roman"/>
          <w:sz w:val="24"/>
          <w:szCs w:val="24"/>
        </w:rPr>
      </w:pPr>
      <w:r w:rsidRPr="003C5E9A">
        <w:rPr>
          <w:rStyle w:val="FootnoteReference"/>
        </w:rPr>
        <w:footnoteRef/>
      </w:r>
      <w:r>
        <w:rPr>
          <w:rFonts w:ascii="Times New Roman" w:hAnsi="Times New Roman" w:cs="Times New Roman"/>
          <w:sz w:val="24"/>
          <w:szCs w:val="24"/>
        </w:rPr>
        <w:t xml:space="preserve">  To put it in other words, the end justifies the means, i.e. the seizing of power by whatever means, illegal or otherwise.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823" w:rsidRDefault="0046482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4823"/>
    <w:rsid w:val="003C5E9A"/>
    <w:rsid w:val="0046482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3C5E9A"/>
    <w:rPr>
      <w:vertAlign w:val="superscript"/>
    </w:rPr>
  </w:style>
  <w:style w:type="character" w:styleId="FootnoteReference">
    <w:name w:val="footnote reference"/>
    <w:basedOn w:val="DefaultParagraphFont"/>
    <w:uiPriority w:val="99"/>
    <w:semiHidden/>
    <w:unhideWhenUsed/>
    <w:rsid w:val="003C5E9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10206</Words>
  <Characters>58177</Characters>
  <Application>Microsoft Office Word</Application>
  <DocSecurity>0</DocSecurity>
  <Lines>484</Lines>
  <Paragraphs>136</Paragraphs>
  <ScaleCrop>false</ScaleCrop>
  <Company/>
  <LinksUpToDate>false</LinksUpToDate>
  <CharactersWithSpaces>68247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2016-07-09T17:38:00Z</dcterms:created>
  <dcterms:modified xsi:type="dcterms:W3CDTF">2016-07-09T17:38:00Z</dcterms:modified>
</cp:coreProperties>
</file>